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EF1" w:rsidRDefault="004C3EF1" w:rsidP="004C3EF1">
      <w:pPr>
        <w:spacing w:before="100" w:beforeAutospacing="1" w:after="100" w:afterAutospacing="1" w:line="240" w:lineRule="auto"/>
        <w:rPr>
          <w:rFonts w:ascii="Times New Roman" w:eastAsia="Times New Roman" w:hAnsi="Times New Roman" w:cs="Times New Roman"/>
          <w:color w:val="000000"/>
          <w:sz w:val="24"/>
          <w:szCs w:val="24"/>
          <w:u w:val="single"/>
          <w:lang w:eastAsia="fr-FR"/>
        </w:rPr>
      </w:pPr>
      <w:r w:rsidRPr="00095CB5">
        <w:rPr>
          <w:rFonts w:ascii="Times New Roman" w:eastAsia="Times New Roman" w:hAnsi="Times New Roman" w:cs="Times New Roman"/>
          <w:caps/>
          <w:color w:val="000000"/>
          <w:sz w:val="24"/>
          <w:szCs w:val="24"/>
          <w:lang w:eastAsia="fr-FR"/>
        </w:rPr>
        <w:t>Irbésartan Hydrochlorothiazide</w:t>
      </w:r>
      <w:r w:rsidRPr="00095CB5">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r w:rsidRPr="00095CB5">
        <w:rPr>
          <w:rFonts w:ascii="Verdana" w:eastAsia="Times New Roman" w:hAnsi="Verdana" w:cs="Times New Roman"/>
          <w:b/>
          <w:bCs/>
          <w:color w:val="990000"/>
          <w:sz w:val="24"/>
          <w:szCs w:val="24"/>
          <w:lang w:eastAsia="fr-FR"/>
        </w:rPr>
        <w:t>MISES EN GARDE et PRÉCAUTIONS D'EMPLOI</w:t>
      </w:r>
      <w:r w:rsidRPr="00095CB5">
        <w:rPr>
          <w:rFonts w:ascii="Times New Roman" w:eastAsia="Times New Roman" w:hAnsi="Times New Roman" w:cs="Times New Roman"/>
          <w:color w:val="000000"/>
          <w:sz w:val="24"/>
          <w:szCs w:val="24"/>
          <w:lang w:eastAsia="fr-FR"/>
        </w:rPr>
        <w:t>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Hypotension - patients </w:t>
      </w:r>
      <w:proofErr w:type="spellStart"/>
      <w:r w:rsidRPr="00095CB5">
        <w:rPr>
          <w:rFonts w:ascii="Times New Roman" w:eastAsia="Times New Roman" w:hAnsi="Times New Roman" w:cs="Times New Roman"/>
          <w:color w:val="000000"/>
          <w:sz w:val="24"/>
          <w:szCs w:val="24"/>
          <w:u w:val="single"/>
          <w:lang w:eastAsia="fr-FR"/>
        </w:rPr>
        <w:t>hypovolémiques</w:t>
      </w:r>
      <w:proofErr w:type="spellEnd"/>
      <w:r w:rsidRPr="00095CB5">
        <w:rPr>
          <w:rFonts w:ascii="Times New Roman" w:eastAsia="Times New Roman" w:hAnsi="Times New Roman" w:cs="Times New Roman"/>
          <w:color w:val="000000"/>
          <w:sz w:val="24"/>
          <w:szCs w:val="24"/>
          <w:u w:val="single"/>
          <w:lang w:eastAsia="fr-FR"/>
        </w:rPr>
        <w:t xml:space="preserve">: </w:t>
      </w:r>
      <w:r w:rsidRPr="00095CB5">
        <w:rPr>
          <w:rFonts w:ascii="Times New Roman" w:eastAsia="Times New Roman" w:hAnsi="Times New Roman" w:cs="Times New Roman"/>
          <w:caps/>
          <w:color w:val="000000"/>
          <w:sz w:val="24"/>
          <w:szCs w:val="24"/>
          <w:lang w:eastAsia="fr-FR"/>
        </w:rPr>
        <w:t>Irbésartan/Hydrochlorothiazide</w:t>
      </w:r>
      <w:r w:rsidRPr="00095CB5">
        <w:rPr>
          <w:rFonts w:ascii="Times New Roman" w:eastAsia="Times New Roman" w:hAnsi="Times New Roman" w:cs="Times New Roman"/>
          <w:color w:val="000000"/>
          <w:sz w:val="24"/>
          <w:szCs w:val="24"/>
          <w:lang w:eastAsia="fr-FR"/>
        </w:rPr>
        <w:t xml:space="preserve"> a rarement été associé à une hypotension symptomatique chez les patients hypertendus sans autre facteur de risque d'hypotension. Une hypotension symptomatique peut survenir chez les patients présentant une déplétion sodée et/ou une </w:t>
      </w:r>
      <w:proofErr w:type="spellStart"/>
      <w:r w:rsidRPr="00095CB5">
        <w:rPr>
          <w:rFonts w:ascii="Times New Roman" w:eastAsia="Times New Roman" w:hAnsi="Times New Roman" w:cs="Times New Roman"/>
          <w:color w:val="000000"/>
          <w:sz w:val="24"/>
          <w:szCs w:val="24"/>
          <w:lang w:eastAsia="fr-FR"/>
        </w:rPr>
        <w:t>hypovolémie</w:t>
      </w:r>
      <w:proofErr w:type="spellEnd"/>
      <w:r w:rsidRPr="00095CB5">
        <w:rPr>
          <w:rFonts w:ascii="Times New Roman" w:eastAsia="Times New Roman" w:hAnsi="Times New Roman" w:cs="Times New Roman"/>
          <w:color w:val="000000"/>
          <w:sz w:val="24"/>
          <w:szCs w:val="24"/>
          <w:lang w:eastAsia="fr-FR"/>
        </w:rPr>
        <w:t xml:space="preserve"> secondaire à un traitement diurétique, une alimentation hyposodée, une diarrhée ou des vomissements. Ces anomalies doivent être corrigées avant l'initiation du traitement par </w:t>
      </w:r>
      <w:r w:rsidRPr="00095CB5">
        <w:rPr>
          <w:rFonts w:ascii="Times New Roman" w:eastAsia="Times New Roman" w:hAnsi="Times New Roman" w:cs="Times New Roman"/>
          <w:caps/>
          <w:color w:val="000000"/>
          <w:sz w:val="24"/>
          <w:szCs w:val="24"/>
          <w:lang w:eastAsia="fr-FR"/>
        </w:rPr>
        <w:t>Irbésartan Hydrochlorothiazide</w:t>
      </w:r>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Sténose de l'artère rénale - Hypertension artérielle </w:t>
      </w:r>
      <w:proofErr w:type="spellStart"/>
      <w:r w:rsidRPr="00095CB5">
        <w:rPr>
          <w:rFonts w:ascii="Times New Roman" w:eastAsia="Times New Roman" w:hAnsi="Times New Roman" w:cs="Times New Roman"/>
          <w:color w:val="000000"/>
          <w:sz w:val="24"/>
          <w:szCs w:val="24"/>
          <w:u w:val="single"/>
          <w:lang w:eastAsia="fr-FR"/>
        </w:rPr>
        <w:t>rénovasculaire</w:t>
      </w:r>
      <w:proofErr w:type="spellEnd"/>
      <w:r w:rsidRPr="00095CB5">
        <w:rPr>
          <w:rFonts w:ascii="Times New Roman" w:eastAsia="Times New Roman" w:hAnsi="Times New Roman" w:cs="Times New Roman"/>
          <w:color w:val="000000"/>
          <w:sz w:val="24"/>
          <w:szCs w:val="24"/>
          <w:u w:val="single"/>
          <w:lang w:eastAsia="fr-FR"/>
        </w:rPr>
        <w:t xml:space="preserve">: </w:t>
      </w:r>
      <w:r w:rsidRPr="00095CB5">
        <w:rPr>
          <w:rFonts w:ascii="Times New Roman" w:eastAsia="Times New Roman" w:hAnsi="Times New Roman" w:cs="Times New Roman"/>
          <w:color w:val="000000"/>
          <w:sz w:val="24"/>
          <w:szCs w:val="24"/>
          <w:lang w:eastAsia="fr-FR"/>
        </w:rPr>
        <w:t xml:space="preserve">il existe un risque accru d'hypotension sévère et d'insuffisance rénale lorsque des patients présentant une sténose bilatérale de l'artère rénale ou une sténose artérielle rénale sur rein fonctionnellement unique, sont traités par inhibiteurs de l'enzyme de conversion ou antagonistes des récepteurs de l'angiotensine-II. Bien que l'on n'ait pas de données de ce type avec l'utilisation </w:t>
      </w:r>
      <w:proofErr w:type="gramStart"/>
      <w:r w:rsidRPr="00095CB5">
        <w:rPr>
          <w:rFonts w:ascii="Times New Roman" w:eastAsia="Times New Roman" w:hAnsi="Times New Roman" w:cs="Times New Roman"/>
          <w:color w:val="000000"/>
          <w:sz w:val="24"/>
          <w:szCs w:val="24"/>
          <w:lang w:eastAsia="fr-FR"/>
        </w:rPr>
        <w:t xml:space="preserve">de </w:t>
      </w:r>
      <w:r w:rsidRPr="00095CB5">
        <w:rPr>
          <w:rFonts w:ascii="Times New Roman" w:eastAsia="Times New Roman" w:hAnsi="Times New Roman" w:cs="Times New Roman"/>
          <w:caps/>
          <w:color w:val="000000"/>
          <w:sz w:val="24"/>
          <w:szCs w:val="24"/>
          <w:lang w:eastAsia="fr-FR"/>
        </w:rPr>
        <w:t>Irbésartan/Hydrochlorothiazide</w:t>
      </w:r>
      <w:proofErr w:type="gramEnd"/>
      <w:r w:rsidRPr="00095CB5">
        <w:rPr>
          <w:rFonts w:ascii="Times New Roman" w:eastAsia="Times New Roman" w:hAnsi="Times New Roman" w:cs="Times New Roman"/>
          <w:color w:val="000000"/>
          <w:sz w:val="24"/>
          <w:szCs w:val="24"/>
          <w:lang w:eastAsia="fr-FR"/>
        </w:rPr>
        <w:t xml:space="preserve">, on devrait s'attendre à un effet similaire.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Insuffisance rénale et transplantation rénale : </w:t>
      </w:r>
      <w:r w:rsidRPr="00095CB5">
        <w:rPr>
          <w:rFonts w:ascii="Times New Roman" w:eastAsia="Times New Roman" w:hAnsi="Times New Roman" w:cs="Times New Roman"/>
          <w:color w:val="000000"/>
          <w:sz w:val="24"/>
          <w:szCs w:val="24"/>
          <w:lang w:eastAsia="fr-FR"/>
        </w:rPr>
        <w:t xml:space="preserve">quand </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est utilisé chez les patients présentant une altération de la fonction rénale, un contrôle périodique des taux sériques de potassium, de créatinine et d'acide urique est recommandé. Aucune expérience n'est disponible concernant l'utilisation de </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chez les patients ayant eu une transplantation rénale récente. </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ne doit pas être utilisé chez les patients ayant une insuffisance rénale sévère (clairance de la créatinine &lt; 30 ml/min) (voir rubrique </w:t>
      </w:r>
      <w:hyperlink w:anchor="contr" w:history="1">
        <w:r w:rsidRPr="00095CB5">
          <w:rPr>
            <w:rFonts w:ascii="Times New Roman" w:eastAsia="Times New Roman" w:hAnsi="Times New Roman" w:cs="Times New Roman"/>
            <w:color w:val="990000"/>
            <w:sz w:val="24"/>
            <w:szCs w:val="24"/>
            <w:u w:val="single"/>
            <w:lang w:eastAsia="fr-FR"/>
          </w:rPr>
          <w:t>Contre-indications</w:t>
        </w:r>
      </w:hyperlink>
      <w:r w:rsidRPr="00095CB5">
        <w:rPr>
          <w:rFonts w:ascii="Times New Roman" w:eastAsia="Times New Roman" w:hAnsi="Times New Roman" w:cs="Times New Roman"/>
          <w:color w:val="000000"/>
          <w:sz w:val="24"/>
          <w:szCs w:val="24"/>
          <w:lang w:eastAsia="fr-FR"/>
        </w:rPr>
        <w:t xml:space="preserve">). Une hyperazotémie liée à la prise de diurétiques thiazidiques peut survenir chez des patients atteints d'une altération de la fonction rénale. Une adaptation </w:t>
      </w:r>
      <w:proofErr w:type="spellStart"/>
      <w:r w:rsidRPr="00095CB5">
        <w:rPr>
          <w:rFonts w:ascii="Times New Roman" w:eastAsia="Times New Roman" w:hAnsi="Times New Roman" w:cs="Times New Roman"/>
          <w:color w:val="000000"/>
          <w:sz w:val="24"/>
          <w:szCs w:val="24"/>
          <w:lang w:eastAsia="fr-FR"/>
        </w:rPr>
        <w:t>posologique</w:t>
      </w:r>
      <w:proofErr w:type="spellEnd"/>
      <w:r w:rsidRPr="00095CB5">
        <w:rPr>
          <w:rFonts w:ascii="Times New Roman" w:eastAsia="Times New Roman" w:hAnsi="Times New Roman" w:cs="Times New Roman"/>
          <w:color w:val="000000"/>
          <w:sz w:val="24"/>
          <w:szCs w:val="24"/>
          <w:lang w:eastAsia="fr-FR"/>
        </w:rPr>
        <w:t xml:space="preserve"> n'est pas nécessaire chez les patients dont la clairance de la créatinine est ≥ 30 ml/min. Cependant, chez les patients ayant une insuffisance rénale légère à modérée (clairance de la créatinine ≥ 30 ml/min mais &lt; 60 ml/min), cette association à dose fixe doit être administrée avec précaution.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Insuffisance hépatique : </w:t>
      </w:r>
      <w:r w:rsidRPr="00095CB5">
        <w:rPr>
          <w:rFonts w:ascii="Times New Roman" w:eastAsia="Times New Roman" w:hAnsi="Times New Roman" w:cs="Times New Roman"/>
          <w:color w:val="000000"/>
          <w:sz w:val="24"/>
          <w:szCs w:val="24"/>
          <w:lang w:eastAsia="fr-FR"/>
        </w:rPr>
        <w:t xml:space="preserve">il convient d'utiliser les thiazidiques avec prudence chez les patients présentant une insuffisance hépatique ou une maladie évolutive du foie car des altérations, même discrètes, de l'équilibre hydro-électrolytique peuvent déclencher un coma hépatique. Il n'existe pas de données cliniques disponibles avec </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chez les patients insuffisants hépatiques.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Sténose de la valve aortique et mitrale, cardiomyopathie obstructive hypertrophique : </w:t>
      </w:r>
      <w:r w:rsidRPr="00095CB5">
        <w:rPr>
          <w:rFonts w:ascii="Times New Roman" w:eastAsia="Times New Roman" w:hAnsi="Times New Roman" w:cs="Times New Roman"/>
          <w:color w:val="000000"/>
          <w:sz w:val="24"/>
          <w:szCs w:val="24"/>
          <w:lang w:eastAsia="fr-FR"/>
        </w:rPr>
        <w:t xml:space="preserve">comme avec les autres vasodilatateurs, une prudence particulière est indiquée chez les patients souffrant de sténose aortique ou mitrale ou de cardiomyopathie obstructive hypertrophique.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u w:val="single"/>
          <w:lang w:eastAsia="fr-FR"/>
        </w:rPr>
        <w:t>Hyperaldostéronisme</w:t>
      </w:r>
      <w:proofErr w:type="spellEnd"/>
      <w:r w:rsidRPr="00095CB5">
        <w:rPr>
          <w:rFonts w:ascii="Times New Roman" w:eastAsia="Times New Roman" w:hAnsi="Times New Roman" w:cs="Times New Roman"/>
          <w:color w:val="000000"/>
          <w:sz w:val="24"/>
          <w:szCs w:val="24"/>
          <w:u w:val="single"/>
          <w:lang w:eastAsia="fr-FR"/>
        </w:rPr>
        <w:t xml:space="preserve"> primaire : </w:t>
      </w:r>
      <w:r w:rsidRPr="00095CB5">
        <w:rPr>
          <w:rFonts w:ascii="Times New Roman" w:eastAsia="Times New Roman" w:hAnsi="Times New Roman" w:cs="Times New Roman"/>
          <w:color w:val="000000"/>
          <w:sz w:val="24"/>
          <w:szCs w:val="24"/>
          <w:lang w:eastAsia="fr-FR"/>
        </w:rPr>
        <w:t xml:space="preserve">les patients avec </w:t>
      </w:r>
      <w:proofErr w:type="spellStart"/>
      <w:r w:rsidRPr="00095CB5">
        <w:rPr>
          <w:rFonts w:ascii="Times New Roman" w:eastAsia="Times New Roman" w:hAnsi="Times New Roman" w:cs="Times New Roman"/>
          <w:color w:val="000000"/>
          <w:sz w:val="24"/>
          <w:szCs w:val="24"/>
          <w:lang w:eastAsia="fr-FR"/>
        </w:rPr>
        <w:t>hyperaldostéronisme</w:t>
      </w:r>
      <w:proofErr w:type="spellEnd"/>
      <w:r w:rsidRPr="00095CB5">
        <w:rPr>
          <w:rFonts w:ascii="Times New Roman" w:eastAsia="Times New Roman" w:hAnsi="Times New Roman" w:cs="Times New Roman"/>
          <w:color w:val="000000"/>
          <w:sz w:val="24"/>
          <w:szCs w:val="24"/>
          <w:lang w:eastAsia="fr-FR"/>
        </w:rPr>
        <w:t xml:space="preserve"> primaire ne répondent généralement pas aux médicaments antihypertenseurs agissant par l'intermédiaire de l'inhibition du système rénine-angiotensine. En conséquence, l'utilisation d</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n'est pas recommandée.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Effets métaboliques et endocriniens : </w:t>
      </w:r>
      <w:r w:rsidRPr="00095CB5">
        <w:rPr>
          <w:rFonts w:ascii="Times New Roman" w:eastAsia="Times New Roman" w:hAnsi="Times New Roman" w:cs="Times New Roman"/>
          <w:color w:val="000000"/>
          <w:sz w:val="24"/>
          <w:szCs w:val="24"/>
          <w:lang w:eastAsia="fr-FR"/>
        </w:rPr>
        <w:t xml:space="preserve">les thiazidiques sont susceptibles d'entraîner une intolérance au glucose. Chez les diabétiques, une adaptation de la posologie de l'insuline ou </w:t>
      </w:r>
      <w:r w:rsidRPr="00095CB5">
        <w:rPr>
          <w:rFonts w:ascii="Times New Roman" w:eastAsia="Times New Roman" w:hAnsi="Times New Roman" w:cs="Times New Roman"/>
          <w:color w:val="000000"/>
          <w:sz w:val="24"/>
          <w:szCs w:val="24"/>
          <w:lang w:eastAsia="fr-FR"/>
        </w:rPr>
        <w:lastRenderedPageBreak/>
        <w:t xml:space="preserve">des hypoglycémiants oraux peut se révéler nécessaire. Un diabète sucré latent peut se révéler à l'occasion d'un traitement par thiazidique.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Des augmentations des taux de cholestérol et de triglycérides ont été observées sous traitement par diurétiques thiazidiques. Cependant, à la dose de 12,5 mg contenue dans </w:t>
      </w:r>
      <w:r w:rsidRPr="00095CB5">
        <w:rPr>
          <w:rFonts w:ascii="Times New Roman" w:eastAsia="Times New Roman" w:hAnsi="Times New Roman" w:cs="Times New Roman"/>
          <w:caps/>
          <w:color w:val="000000"/>
          <w:sz w:val="24"/>
          <w:szCs w:val="24"/>
          <w:lang w:eastAsia="fr-FR"/>
        </w:rPr>
        <w:t>Irbésartan/Hydrochlorothiazide</w:t>
      </w:r>
      <w:r w:rsidRPr="00095CB5">
        <w:rPr>
          <w:rFonts w:ascii="Times New Roman" w:eastAsia="Times New Roman" w:hAnsi="Times New Roman" w:cs="Times New Roman"/>
          <w:color w:val="000000"/>
          <w:sz w:val="24"/>
          <w:szCs w:val="24"/>
          <w:lang w:eastAsia="fr-FR"/>
        </w:rPr>
        <w:t xml:space="preserve">, des effets minimes voir aucun effet ont été signalés.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Une </w:t>
      </w:r>
      <w:proofErr w:type="spellStart"/>
      <w:r w:rsidRPr="00095CB5">
        <w:rPr>
          <w:rFonts w:ascii="Times New Roman" w:eastAsia="Times New Roman" w:hAnsi="Times New Roman" w:cs="Times New Roman"/>
          <w:color w:val="000000"/>
          <w:sz w:val="24"/>
          <w:szCs w:val="24"/>
          <w:lang w:eastAsia="fr-FR"/>
        </w:rPr>
        <w:t>hyperuricémie</w:t>
      </w:r>
      <w:proofErr w:type="spellEnd"/>
      <w:r w:rsidRPr="00095CB5">
        <w:rPr>
          <w:rFonts w:ascii="Times New Roman" w:eastAsia="Times New Roman" w:hAnsi="Times New Roman" w:cs="Times New Roman"/>
          <w:color w:val="000000"/>
          <w:sz w:val="24"/>
          <w:szCs w:val="24"/>
          <w:lang w:eastAsia="fr-FR"/>
        </w:rPr>
        <w:t xml:space="preserve"> peut survenir ou une crise de goutte peut être déclenchée chez certains patients recevant des diurétiques thiazidiques.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Equilibre </w:t>
      </w:r>
      <w:proofErr w:type="spellStart"/>
      <w:r w:rsidRPr="00095CB5">
        <w:rPr>
          <w:rFonts w:ascii="Times New Roman" w:eastAsia="Times New Roman" w:hAnsi="Times New Roman" w:cs="Times New Roman"/>
          <w:color w:val="000000"/>
          <w:sz w:val="24"/>
          <w:szCs w:val="24"/>
          <w:u w:val="single"/>
          <w:lang w:eastAsia="fr-FR"/>
        </w:rPr>
        <w:t>hydroélectrolytique</w:t>
      </w:r>
      <w:proofErr w:type="spellEnd"/>
      <w:r w:rsidRPr="00095CB5">
        <w:rPr>
          <w:rFonts w:ascii="Times New Roman" w:eastAsia="Times New Roman" w:hAnsi="Times New Roman" w:cs="Times New Roman"/>
          <w:color w:val="000000"/>
          <w:sz w:val="24"/>
          <w:szCs w:val="24"/>
          <w:u w:val="single"/>
          <w:lang w:eastAsia="fr-FR"/>
        </w:rPr>
        <w:t xml:space="preserve"> : </w:t>
      </w:r>
      <w:r w:rsidRPr="00095CB5">
        <w:rPr>
          <w:rFonts w:ascii="Times New Roman" w:eastAsia="Times New Roman" w:hAnsi="Times New Roman" w:cs="Times New Roman"/>
          <w:color w:val="000000"/>
          <w:sz w:val="24"/>
          <w:szCs w:val="24"/>
          <w:lang w:eastAsia="fr-FR"/>
        </w:rPr>
        <w:t xml:space="preserve">pour tout patient sous traitement diurétique, une surveillance régulière des électrolytes sériques sera effectuée à intervalles appropriés.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Les thiazidiques, dont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peuvent provoquer un déséquilibre </w:t>
      </w:r>
      <w:proofErr w:type="spellStart"/>
      <w:r w:rsidRPr="00095CB5">
        <w:rPr>
          <w:rFonts w:ascii="Times New Roman" w:eastAsia="Times New Roman" w:hAnsi="Times New Roman" w:cs="Times New Roman"/>
          <w:color w:val="000000"/>
          <w:sz w:val="24"/>
          <w:szCs w:val="24"/>
          <w:lang w:eastAsia="fr-FR"/>
        </w:rPr>
        <w:t>hydroélectrolytique</w:t>
      </w:r>
      <w:proofErr w:type="spellEnd"/>
      <w:r w:rsidRPr="00095CB5">
        <w:rPr>
          <w:rFonts w:ascii="Times New Roman" w:eastAsia="Times New Roman" w:hAnsi="Times New Roman" w:cs="Times New Roman"/>
          <w:color w:val="000000"/>
          <w:sz w:val="24"/>
          <w:szCs w:val="24"/>
          <w:lang w:eastAsia="fr-FR"/>
        </w:rPr>
        <w:t xml:space="preserve"> (hypokaliémie, hyponatrémie et alcalose </w:t>
      </w:r>
      <w:proofErr w:type="spellStart"/>
      <w:r w:rsidRPr="00095CB5">
        <w:rPr>
          <w:rFonts w:ascii="Times New Roman" w:eastAsia="Times New Roman" w:hAnsi="Times New Roman" w:cs="Times New Roman"/>
          <w:color w:val="000000"/>
          <w:sz w:val="24"/>
          <w:szCs w:val="24"/>
          <w:lang w:eastAsia="fr-FR"/>
        </w:rPr>
        <w:t>hypochlorémique</w:t>
      </w:r>
      <w:proofErr w:type="spellEnd"/>
      <w:r w:rsidRPr="00095CB5">
        <w:rPr>
          <w:rFonts w:ascii="Times New Roman" w:eastAsia="Times New Roman" w:hAnsi="Times New Roman" w:cs="Times New Roman"/>
          <w:color w:val="000000"/>
          <w:sz w:val="24"/>
          <w:szCs w:val="24"/>
          <w:lang w:eastAsia="fr-FR"/>
        </w:rPr>
        <w:t xml:space="preserve">). Les signes d'alerte d'un déséquilibre </w:t>
      </w:r>
      <w:proofErr w:type="spellStart"/>
      <w:r w:rsidRPr="00095CB5">
        <w:rPr>
          <w:rFonts w:ascii="Times New Roman" w:eastAsia="Times New Roman" w:hAnsi="Times New Roman" w:cs="Times New Roman"/>
          <w:color w:val="000000"/>
          <w:sz w:val="24"/>
          <w:szCs w:val="24"/>
          <w:lang w:eastAsia="fr-FR"/>
        </w:rPr>
        <w:t>hydroélectrolytique</w:t>
      </w:r>
      <w:proofErr w:type="spellEnd"/>
      <w:r w:rsidRPr="00095CB5">
        <w:rPr>
          <w:rFonts w:ascii="Times New Roman" w:eastAsia="Times New Roman" w:hAnsi="Times New Roman" w:cs="Times New Roman"/>
          <w:color w:val="000000"/>
          <w:sz w:val="24"/>
          <w:szCs w:val="24"/>
          <w:lang w:eastAsia="fr-FR"/>
        </w:rPr>
        <w:t xml:space="preserve"> sont sécheresse de la bouche, soif, faiblesse, léthargie, somnolence, agitation, douleurs musculaires ou crampes, fatigue musculaire, hypotension, oligurie, tachycardie et troubles gastro-intestinaux tels que nausées et vomissements.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L'hypokaliémie induite par les thiazidiques, peut être réduite par l'association de ces diurétiques à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Le risque d'hypokaliémie est plus important chez les patients porteurs d'une cirrhose hépatique, chez les patients présentant une diurèse importante, chez les patients qui reçoivent des prises orales inadéquates d'électrolytes et chez les patients traités simultanément par des corticostéroïdes ou par l'ACTH. Inversement, une hyperkaliémie peut survenir du fait de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composant d</w:t>
      </w:r>
      <w:r w:rsidRPr="00095CB5">
        <w:rPr>
          <w:rFonts w:ascii="Times New Roman" w:eastAsia="Times New Roman" w:hAnsi="Times New Roman" w:cs="Times New Roman"/>
          <w:caps/>
          <w:color w:val="000000"/>
          <w:sz w:val="24"/>
          <w:szCs w:val="24"/>
          <w:lang w:eastAsia="fr-FR"/>
        </w:rPr>
        <w:t>'Irbésartan/Hydrochlorothiazide</w:t>
      </w:r>
      <w:r w:rsidRPr="00095CB5">
        <w:rPr>
          <w:rFonts w:ascii="Times New Roman" w:eastAsia="Times New Roman" w:hAnsi="Times New Roman" w:cs="Times New Roman"/>
          <w:color w:val="000000"/>
          <w:sz w:val="24"/>
          <w:szCs w:val="24"/>
          <w:lang w:eastAsia="fr-FR"/>
        </w:rPr>
        <w:t xml:space="preserve">, en particulier en présence d'insuffisance rénale et/ou d'insuffisance cardiaque et de diabète sucré. Un contrôle approprié du potassium sérique chez ces patients à risque est recommandé. Les diurétiques d'épargne potassique, les suppléments en potassium ou les substituts salés contenant du potassium doivent être administrés avec prudence avec </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(voir rubrique </w:t>
      </w:r>
      <w:hyperlink w:anchor="inter" w:history="1">
        <w:r w:rsidRPr="00095CB5">
          <w:rPr>
            <w:rFonts w:ascii="Times New Roman" w:eastAsia="Times New Roman" w:hAnsi="Times New Roman" w:cs="Times New Roman"/>
            <w:color w:val="990000"/>
            <w:sz w:val="24"/>
            <w:szCs w:val="24"/>
            <w:u w:val="single"/>
            <w:lang w:eastAsia="fr-FR"/>
          </w:rPr>
          <w:t>Interactions</w:t>
        </w:r>
      </w:hyperlink>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Il n'est pas démontré que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puisse réduire ou prévenir une hyponatrémie induite par les diurétiques. Une déplétion chlorée est en général peu importante et dans la plupart des cas, ne requiert aucun traitement.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Les thiazidiques peuvent réduire l'excrétion urinaire de calcium et provoquer une élévation légère et transitoire de la calcémie en l'absence de désordre connu du métabolisme calcique. Une hypercalcémie importante peut être le symptôme d'une hyperparathyroïdie masquée. Les thiazidiques doivent être interrompus avant d'explorer la fonction parathyroïdienne.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Une augmentation de l'élimination urinaire du magnésium ayant été démontrée avec les thiazidiques, il peut en résulter une </w:t>
      </w:r>
      <w:proofErr w:type="spellStart"/>
      <w:r w:rsidRPr="00095CB5">
        <w:rPr>
          <w:rFonts w:ascii="Times New Roman" w:eastAsia="Times New Roman" w:hAnsi="Times New Roman" w:cs="Times New Roman"/>
          <w:color w:val="000000"/>
          <w:sz w:val="24"/>
          <w:szCs w:val="24"/>
          <w:lang w:eastAsia="fr-FR"/>
        </w:rPr>
        <w:t>hypomagnésémie</w:t>
      </w:r>
      <w:proofErr w:type="spellEnd"/>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Lithium : </w:t>
      </w:r>
      <w:r w:rsidRPr="00095CB5">
        <w:rPr>
          <w:rFonts w:ascii="Times New Roman" w:eastAsia="Times New Roman" w:hAnsi="Times New Roman" w:cs="Times New Roman"/>
          <w:color w:val="000000"/>
          <w:sz w:val="24"/>
          <w:szCs w:val="24"/>
          <w:lang w:eastAsia="fr-FR"/>
        </w:rPr>
        <w:t>l'association du lithium et d</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est déconseillée (voir rubrique </w:t>
      </w:r>
      <w:hyperlink w:anchor="inter" w:history="1">
        <w:r w:rsidRPr="00095CB5">
          <w:rPr>
            <w:rFonts w:ascii="Times New Roman" w:eastAsia="Times New Roman" w:hAnsi="Times New Roman" w:cs="Times New Roman"/>
            <w:color w:val="990000"/>
            <w:sz w:val="24"/>
            <w:szCs w:val="24"/>
            <w:u w:val="single"/>
            <w:lang w:eastAsia="fr-FR"/>
          </w:rPr>
          <w:t>Interactions</w:t>
        </w:r>
      </w:hyperlink>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Test antidopage : </w:t>
      </w:r>
      <w:r w:rsidRPr="00095CB5">
        <w:rPr>
          <w:rFonts w:ascii="Times New Roman" w:eastAsia="Times New Roman" w:hAnsi="Times New Roman" w:cs="Times New Roman"/>
          <w:color w:val="000000"/>
          <w:sz w:val="24"/>
          <w:szCs w:val="24"/>
          <w:lang w:eastAsia="fr-FR"/>
        </w:rPr>
        <w:t>ce médicament contient de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principe actif pouvant induire une réaction positive des tests pratiqués lors des contrôles antidopage.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lastRenderedPageBreak/>
        <w:t xml:space="preserve">Général : </w:t>
      </w:r>
      <w:r w:rsidRPr="00095CB5">
        <w:rPr>
          <w:rFonts w:ascii="Times New Roman" w:eastAsia="Times New Roman" w:hAnsi="Times New Roman" w:cs="Times New Roman"/>
          <w:color w:val="000000"/>
          <w:sz w:val="24"/>
          <w:szCs w:val="24"/>
          <w:lang w:eastAsia="fr-FR"/>
        </w:rPr>
        <w:t xml:space="preserve">chez les patients dont la tonicité vasculaire et la fonction rénale dépendent de façon prédominante de l'activité du système rénine-angiotensine-aldostérone (par exemple les patients présentant une insuffisance cardiaque congestive sévère ou une maladie rénale sous-jacente, y compris une sténose des artères rénales), le traitement par inhibiteurs de l'enzyme de conversion ou antagonistes des récepteurs de l'angiotensine-II agissant sur ce système a été associé à une hypotension aiguë, une azotémie, une oligurie ou, rarement, à une insuffisance rénale aiguë. Comme avec n'importe quel agent antihypertenseur, une baisse brutale de la pression artérielle chez des patients porteurs d'une cardiopathie ischémique ou d'une maladie cardiovasculaire ischémique pourrait entraîner un infarctus du myocarde ou un accident vasculaire cérébral.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Des réactions d'hypersensibilité à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peuvent survenir chez des patients avec ou sans antécédents allergiques ou d'asthme bronchique. Cependant, ces réactions allergiques sont plus vraisemblables chez les patients présentant de tels antécédents.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Des cas d'exacerbation ou d'activation de lupus érythémateux disséminé ont été rapportés lors de l'utilisation de diurétiques thiazidiques.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Des cas de réactions de photosensibilité ont été rapportés avec les diurétiques thiazidiques (voir rubrique </w:t>
      </w:r>
      <w:hyperlink w:anchor="effet" w:history="1">
        <w:r w:rsidRPr="00095CB5">
          <w:rPr>
            <w:rFonts w:ascii="Times New Roman" w:eastAsia="Times New Roman" w:hAnsi="Times New Roman" w:cs="Times New Roman"/>
            <w:color w:val="990000"/>
            <w:sz w:val="24"/>
            <w:szCs w:val="24"/>
            <w:u w:val="single"/>
            <w:lang w:eastAsia="fr-FR"/>
          </w:rPr>
          <w:t>Effets indésirables</w:t>
        </w:r>
      </w:hyperlink>
      <w:r w:rsidRPr="00095CB5">
        <w:rPr>
          <w:rFonts w:ascii="Times New Roman" w:eastAsia="Times New Roman" w:hAnsi="Times New Roman" w:cs="Times New Roman"/>
          <w:color w:val="000000"/>
          <w:sz w:val="24"/>
          <w:szCs w:val="24"/>
          <w:lang w:eastAsia="fr-FR"/>
        </w:rPr>
        <w:t xml:space="preserve">). Si de telles réactions surviennent durant le traitement, il est recommandé d'arrêter celui-ci. Si la reprise du traitement par diurétique est jugée nécessaire, il est recommandé de protéger les zones exposées au soleil ou aux UVA artificiels.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Grossesse : </w:t>
      </w:r>
      <w:r w:rsidRPr="00095CB5">
        <w:rPr>
          <w:rFonts w:ascii="Times New Roman" w:eastAsia="Times New Roman" w:hAnsi="Times New Roman" w:cs="Times New Roman"/>
          <w:color w:val="000000"/>
          <w:sz w:val="24"/>
          <w:szCs w:val="24"/>
          <w:lang w:eastAsia="fr-FR"/>
        </w:rPr>
        <w:t xml:space="preserve">les inhibiteurs des récepteurs de l'angiotensine II (ARAII) dont </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ne doivent pas être débutés au cours de la grossesse. A moins que le traitement par ARAII ne soit considéré comme essentiel, il est recommandé de modifier le traitement antihypertenseur chez les patientes qui envisagent une grossesse pour un médicament ayant un profil de sécurité établi pendant la grossesse.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En cas de diagnostic de grossesse, le traitement par un ARAII doit être arrêté immédiatement et si nécessaire un traitement alternatif sera débuté (voir rubriques </w:t>
      </w:r>
      <w:hyperlink w:anchor="contr" w:history="1">
        <w:r w:rsidRPr="00095CB5">
          <w:rPr>
            <w:rFonts w:ascii="Times New Roman" w:eastAsia="Times New Roman" w:hAnsi="Times New Roman" w:cs="Times New Roman"/>
            <w:color w:val="990000"/>
            <w:sz w:val="24"/>
            <w:szCs w:val="24"/>
            <w:u w:val="single"/>
            <w:lang w:eastAsia="fr-FR"/>
          </w:rPr>
          <w:t>Contre-indications</w:t>
        </w:r>
      </w:hyperlink>
      <w:r w:rsidRPr="00095CB5">
        <w:rPr>
          <w:rFonts w:ascii="Times New Roman" w:eastAsia="Times New Roman" w:hAnsi="Times New Roman" w:cs="Times New Roman"/>
          <w:color w:val="000000"/>
          <w:sz w:val="24"/>
          <w:szCs w:val="24"/>
          <w:lang w:eastAsia="fr-FR"/>
        </w:rPr>
        <w:t xml:space="preserve"> et </w:t>
      </w:r>
      <w:hyperlink w:anchor="gross" w:history="1">
        <w:r w:rsidRPr="00095CB5">
          <w:rPr>
            <w:rFonts w:ascii="Times New Roman" w:eastAsia="Times New Roman" w:hAnsi="Times New Roman" w:cs="Times New Roman"/>
            <w:color w:val="990000"/>
            <w:sz w:val="24"/>
            <w:szCs w:val="24"/>
            <w:u w:val="single"/>
            <w:lang w:eastAsia="fr-FR"/>
          </w:rPr>
          <w:t>Fertilité/grossesse/allaitement</w:t>
        </w:r>
      </w:hyperlink>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4.5. Interactions avec d'autres médicaments et autres formes d'interactions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Autres antihypertenseurs </w:t>
      </w:r>
      <w:r w:rsidRPr="00095CB5">
        <w:rPr>
          <w:rFonts w:ascii="Times New Roman" w:eastAsia="Times New Roman" w:hAnsi="Times New Roman" w:cs="Times New Roman"/>
          <w:color w:val="000000"/>
          <w:sz w:val="24"/>
          <w:szCs w:val="24"/>
          <w:lang w:eastAsia="fr-FR"/>
        </w:rPr>
        <w:t>: l'effet antihypertenseur d</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peut être augmenté lors de l'utilisation simultanée d'autres antihypertenseurs.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et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(à des doses allant jusqu'à 300 mg d'</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et 25 mg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ont été administrés sans problème de tolérance avec d'autres antihypertenseurs dont les antagonistes calciques et les bêtabloquants. Un traitement préalable par des diurétiques à dose élevée peut provoquer une </w:t>
      </w:r>
      <w:proofErr w:type="spellStart"/>
      <w:r w:rsidRPr="00095CB5">
        <w:rPr>
          <w:rFonts w:ascii="Times New Roman" w:eastAsia="Times New Roman" w:hAnsi="Times New Roman" w:cs="Times New Roman"/>
          <w:color w:val="000000"/>
          <w:sz w:val="24"/>
          <w:szCs w:val="24"/>
          <w:lang w:eastAsia="fr-FR"/>
        </w:rPr>
        <w:t>hypovolémie</w:t>
      </w:r>
      <w:proofErr w:type="spellEnd"/>
      <w:r w:rsidRPr="00095CB5">
        <w:rPr>
          <w:rFonts w:ascii="Times New Roman" w:eastAsia="Times New Roman" w:hAnsi="Times New Roman" w:cs="Times New Roman"/>
          <w:color w:val="000000"/>
          <w:sz w:val="24"/>
          <w:szCs w:val="24"/>
          <w:lang w:eastAsia="fr-FR"/>
        </w:rPr>
        <w:t xml:space="preserve"> et un risque d'hypotension lorsqu'un traitement par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avec ou sans diurétiques thiazidiques est instauré, sauf si la déplétion </w:t>
      </w:r>
      <w:proofErr w:type="spellStart"/>
      <w:r w:rsidRPr="00095CB5">
        <w:rPr>
          <w:rFonts w:ascii="Times New Roman" w:eastAsia="Times New Roman" w:hAnsi="Times New Roman" w:cs="Times New Roman"/>
          <w:color w:val="000000"/>
          <w:sz w:val="24"/>
          <w:szCs w:val="24"/>
          <w:lang w:eastAsia="fr-FR"/>
        </w:rPr>
        <w:t>volémique</w:t>
      </w:r>
      <w:proofErr w:type="spellEnd"/>
      <w:r w:rsidRPr="00095CB5">
        <w:rPr>
          <w:rFonts w:ascii="Times New Roman" w:eastAsia="Times New Roman" w:hAnsi="Times New Roman" w:cs="Times New Roman"/>
          <w:color w:val="000000"/>
          <w:sz w:val="24"/>
          <w:szCs w:val="24"/>
          <w:lang w:eastAsia="fr-FR"/>
        </w:rPr>
        <w:t xml:space="preserve"> est préalablement corrigée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Lithium </w:t>
      </w:r>
      <w:r w:rsidRPr="00095CB5">
        <w:rPr>
          <w:rFonts w:ascii="Times New Roman" w:eastAsia="Times New Roman" w:hAnsi="Times New Roman" w:cs="Times New Roman"/>
          <w:color w:val="000000"/>
          <w:sz w:val="24"/>
          <w:szCs w:val="24"/>
          <w:lang w:eastAsia="fr-FR"/>
        </w:rPr>
        <w:t>: des augmentations réversibles des concentrations sériques et de la toxicité du lithium ont été rapportées avec les inhibiteurs de l'enzyme de conversion. A ce jour, des effets similaires ont été très rarement rapportés avec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De plus, la clairance rénale du lithium étant réduite par les thiazidiques, le risque de toxicité du lithium est majoré avec </w:t>
      </w:r>
      <w:r w:rsidRPr="00095CB5">
        <w:rPr>
          <w:rFonts w:ascii="Times New Roman" w:eastAsia="Times New Roman" w:hAnsi="Times New Roman" w:cs="Times New Roman"/>
          <w:caps/>
          <w:color w:val="000000"/>
          <w:sz w:val="24"/>
          <w:szCs w:val="24"/>
          <w:lang w:eastAsia="fr-FR"/>
        </w:rPr>
        <w:t>Irbésartan/Hydrochlorothiazide</w:t>
      </w:r>
      <w:r w:rsidRPr="00095CB5">
        <w:rPr>
          <w:rFonts w:ascii="Times New Roman" w:eastAsia="Times New Roman" w:hAnsi="Times New Roman" w:cs="Times New Roman"/>
          <w:color w:val="000000"/>
          <w:sz w:val="24"/>
          <w:szCs w:val="24"/>
          <w:lang w:eastAsia="fr-FR"/>
        </w:rPr>
        <w:t>. Par conséquent, l'association de lithium et d</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est déconseillée (voir rubrique </w:t>
      </w:r>
      <w:hyperlink w:anchor="mises" w:history="1">
        <w:r w:rsidRPr="00095CB5">
          <w:rPr>
            <w:rFonts w:ascii="Times New Roman" w:eastAsia="Times New Roman" w:hAnsi="Times New Roman" w:cs="Times New Roman"/>
            <w:color w:val="990000"/>
            <w:sz w:val="24"/>
            <w:szCs w:val="24"/>
            <w:u w:val="single"/>
            <w:lang w:eastAsia="fr-FR"/>
          </w:rPr>
          <w:t xml:space="preserve">Mises en </w:t>
        </w:r>
        <w:r w:rsidRPr="00095CB5">
          <w:rPr>
            <w:rFonts w:ascii="Times New Roman" w:eastAsia="Times New Roman" w:hAnsi="Times New Roman" w:cs="Times New Roman"/>
            <w:color w:val="990000"/>
            <w:sz w:val="24"/>
            <w:szCs w:val="24"/>
            <w:u w:val="single"/>
            <w:lang w:eastAsia="fr-FR"/>
          </w:rPr>
          <w:lastRenderedPageBreak/>
          <w:t>garde et précautions d'emploi</w:t>
        </w:r>
      </w:hyperlink>
      <w:r w:rsidRPr="00095CB5">
        <w:rPr>
          <w:rFonts w:ascii="Times New Roman" w:eastAsia="Times New Roman" w:hAnsi="Times New Roman" w:cs="Times New Roman"/>
          <w:color w:val="000000"/>
          <w:sz w:val="24"/>
          <w:szCs w:val="24"/>
          <w:lang w:eastAsia="fr-FR"/>
        </w:rPr>
        <w:t xml:space="preserve">). Si cette association se révèle nécessaire, une surveillance stricte de la </w:t>
      </w:r>
      <w:proofErr w:type="spellStart"/>
      <w:r w:rsidRPr="00095CB5">
        <w:rPr>
          <w:rFonts w:ascii="Times New Roman" w:eastAsia="Times New Roman" w:hAnsi="Times New Roman" w:cs="Times New Roman"/>
          <w:color w:val="000000"/>
          <w:sz w:val="24"/>
          <w:szCs w:val="24"/>
          <w:lang w:eastAsia="fr-FR"/>
        </w:rPr>
        <w:t>lithémie</w:t>
      </w:r>
      <w:proofErr w:type="spellEnd"/>
      <w:r w:rsidRPr="00095CB5">
        <w:rPr>
          <w:rFonts w:ascii="Times New Roman" w:eastAsia="Times New Roman" w:hAnsi="Times New Roman" w:cs="Times New Roman"/>
          <w:color w:val="000000"/>
          <w:sz w:val="24"/>
          <w:szCs w:val="24"/>
          <w:lang w:eastAsia="fr-FR"/>
        </w:rPr>
        <w:t xml:space="preserve"> est recommandée.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Médicaments modifiant la kaliémie : </w:t>
      </w:r>
      <w:r w:rsidRPr="00095CB5">
        <w:rPr>
          <w:rFonts w:ascii="Times New Roman" w:eastAsia="Times New Roman" w:hAnsi="Times New Roman" w:cs="Times New Roman"/>
          <w:color w:val="000000"/>
          <w:sz w:val="24"/>
          <w:szCs w:val="24"/>
          <w:lang w:eastAsia="fr-FR"/>
        </w:rPr>
        <w:t>la déplétion potassique due à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est atténuée par l'effet </w:t>
      </w:r>
      <w:proofErr w:type="spellStart"/>
      <w:r w:rsidRPr="00095CB5">
        <w:rPr>
          <w:rFonts w:ascii="Times New Roman" w:eastAsia="Times New Roman" w:hAnsi="Times New Roman" w:cs="Times New Roman"/>
          <w:color w:val="000000"/>
          <w:sz w:val="24"/>
          <w:szCs w:val="24"/>
          <w:lang w:eastAsia="fr-FR"/>
        </w:rPr>
        <w:t>épargneur</w:t>
      </w:r>
      <w:proofErr w:type="spellEnd"/>
      <w:r w:rsidRPr="00095CB5">
        <w:rPr>
          <w:rFonts w:ascii="Times New Roman" w:eastAsia="Times New Roman" w:hAnsi="Times New Roman" w:cs="Times New Roman"/>
          <w:color w:val="000000"/>
          <w:sz w:val="24"/>
          <w:szCs w:val="24"/>
          <w:lang w:eastAsia="fr-FR"/>
        </w:rPr>
        <w:t xml:space="preserve"> de potassium de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Cependant, on peut s'attendre à ce que cet effet de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sur la kaliémie soit potentialisé par d'autres médicaments qui induisent une perte potassique ou une hypokaliémie (tels que les diurétiques </w:t>
      </w:r>
      <w:proofErr w:type="spellStart"/>
      <w:r w:rsidRPr="00095CB5">
        <w:rPr>
          <w:rFonts w:ascii="Times New Roman" w:eastAsia="Times New Roman" w:hAnsi="Times New Roman" w:cs="Times New Roman"/>
          <w:color w:val="000000"/>
          <w:sz w:val="24"/>
          <w:szCs w:val="24"/>
          <w:lang w:eastAsia="fr-FR"/>
        </w:rPr>
        <w:t>hypokaliémiants</w:t>
      </w:r>
      <w:proofErr w:type="spellEnd"/>
      <w:r w:rsidRPr="00095CB5">
        <w:rPr>
          <w:rFonts w:ascii="Times New Roman" w:eastAsia="Times New Roman" w:hAnsi="Times New Roman" w:cs="Times New Roman"/>
          <w:color w:val="000000"/>
          <w:sz w:val="24"/>
          <w:szCs w:val="24"/>
          <w:lang w:eastAsia="fr-FR"/>
        </w:rPr>
        <w:t>, les laxatifs, l'</w:t>
      </w:r>
      <w:proofErr w:type="spellStart"/>
      <w:r w:rsidRPr="00095CB5">
        <w:rPr>
          <w:rFonts w:ascii="Times New Roman" w:eastAsia="Times New Roman" w:hAnsi="Times New Roman" w:cs="Times New Roman"/>
          <w:color w:val="000000"/>
          <w:sz w:val="24"/>
          <w:szCs w:val="24"/>
          <w:lang w:eastAsia="fr-FR"/>
        </w:rPr>
        <w:t>amphotéricine</w:t>
      </w:r>
      <w:proofErr w:type="spellEnd"/>
      <w:r w:rsidRPr="00095CB5">
        <w:rPr>
          <w:rFonts w:ascii="Times New Roman" w:eastAsia="Times New Roman" w:hAnsi="Times New Roman" w:cs="Times New Roman"/>
          <w:color w:val="000000"/>
          <w:sz w:val="24"/>
          <w:szCs w:val="24"/>
          <w:lang w:eastAsia="fr-FR"/>
        </w:rPr>
        <w:t xml:space="preserve"> B, le </w:t>
      </w:r>
      <w:proofErr w:type="spellStart"/>
      <w:r w:rsidRPr="00095CB5">
        <w:rPr>
          <w:rFonts w:ascii="Times New Roman" w:eastAsia="Times New Roman" w:hAnsi="Times New Roman" w:cs="Times New Roman"/>
          <w:color w:val="000000"/>
          <w:sz w:val="24"/>
          <w:szCs w:val="24"/>
          <w:lang w:eastAsia="fr-FR"/>
        </w:rPr>
        <w:t>carbenoxolone</w:t>
      </w:r>
      <w:proofErr w:type="spellEnd"/>
      <w:r w:rsidRPr="00095CB5">
        <w:rPr>
          <w:rFonts w:ascii="Times New Roman" w:eastAsia="Times New Roman" w:hAnsi="Times New Roman" w:cs="Times New Roman"/>
          <w:color w:val="000000"/>
          <w:sz w:val="24"/>
          <w:szCs w:val="24"/>
          <w:lang w:eastAsia="fr-FR"/>
        </w:rPr>
        <w:t>, la pénicilline G sodique). A l'inverse, en se fondant sur l'expérience acquise avec les autres médicaments intervenant sur le système rénine-angiotensine, l'administration concomitante d</w:t>
      </w:r>
      <w:r w:rsidRPr="00095CB5">
        <w:rPr>
          <w:rFonts w:ascii="Times New Roman" w:eastAsia="Times New Roman" w:hAnsi="Times New Roman" w:cs="Times New Roman"/>
          <w:caps/>
          <w:color w:val="000000"/>
          <w:sz w:val="24"/>
          <w:szCs w:val="24"/>
          <w:lang w:eastAsia="fr-FR"/>
        </w:rPr>
        <w:t xml:space="preserve">'Irbésartan/ Hydrochlorothiazide </w:t>
      </w:r>
      <w:r w:rsidRPr="00095CB5">
        <w:rPr>
          <w:rFonts w:ascii="Times New Roman" w:eastAsia="Times New Roman" w:hAnsi="Times New Roman" w:cs="Times New Roman"/>
          <w:color w:val="000000"/>
          <w:sz w:val="24"/>
          <w:szCs w:val="24"/>
          <w:lang w:eastAsia="fr-FR"/>
        </w:rPr>
        <w:t xml:space="preserve">avec des diurétiques d'épargne potassique, une </w:t>
      </w:r>
      <w:proofErr w:type="spellStart"/>
      <w:r w:rsidRPr="00095CB5">
        <w:rPr>
          <w:rFonts w:ascii="Times New Roman" w:eastAsia="Times New Roman" w:hAnsi="Times New Roman" w:cs="Times New Roman"/>
          <w:color w:val="000000"/>
          <w:sz w:val="24"/>
          <w:szCs w:val="24"/>
          <w:lang w:eastAsia="fr-FR"/>
        </w:rPr>
        <w:t>supplémentation</w:t>
      </w:r>
      <w:proofErr w:type="spellEnd"/>
      <w:r w:rsidRPr="00095CB5">
        <w:rPr>
          <w:rFonts w:ascii="Times New Roman" w:eastAsia="Times New Roman" w:hAnsi="Times New Roman" w:cs="Times New Roman"/>
          <w:color w:val="000000"/>
          <w:sz w:val="24"/>
          <w:szCs w:val="24"/>
          <w:lang w:eastAsia="fr-FR"/>
        </w:rPr>
        <w:t xml:space="preserve"> en potassium, des sels de régime contenant du potassium ou d'autres médicaments qui peuvent augmenter les taux de potassium plasmatique (par exemple héparine sodique) peut donner lieu à une élévation de la kaliémie. Il est recommandé une surveillance adéquate du potassium sérique chez les patients à risque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Médicaments dont l'effet est influencé par des perturbations de la kaliémie : </w:t>
      </w:r>
      <w:r w:rsidRPr="00095CB5">
        <w:rPr>
          <w:rFonts w:ascii="Times New Roman" w:eastAsia="Times New Roman" w:hAnsi="Times New Roman" w:cs="Times New Roman"/>
          <w:color w:val="000000"/>
          <w:sz w:val="24"/>
          <w:szCs w:val="24"/>
          <w:lang w:eastAsia="fr-FR"/>
        </w:rPr>
        <w:t>un dosage régulier de la kaliémie est recommandé lorsqu'</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est administré avec des médicaments dont l'effet est influencé par des perturbations des concentrations sériques de potassium (par exemple </w:t>
      </w:r>
      <w:proofErr w:type="spellStart"/>
      <w:r w:rsidRPr="00095CB5">
        <w:rPr>
          <w:rFonts w:ascii="Times New Roman" w:eastAsia="Times New Roman" w:hAnsi="Times New Roman" w:cs="Times New Roman"/>
          <w:color w:val="000000"/>
          <w:sz w:val="24"/>
          <w:szCs w:val="24"/>
          <w:lang w:eastAsia="fr-FR"/>
        </w:rPr>
        <w:t>digitaliques</w:t>
      </w:r>
      <w:proofErr w:type="spellEnd"/>
      <w:r w:rsidRPr="00095CB5">
        <w:rPr>
          <w:rFonts w:ascii="Times New Roman" w:eastAsia="Times New Roman" w:hAnsi="Times New Roman" w:cs="Times New Roman"/>
          <w:color w:val="000000"/>
          <w:sz w:val="24"/>
          <w:szCs w:val="24"/>
          <w:lang w:eastAsia="fr-FR"/>
        </w:rPr>
        <w:t xml:space="preserve">, </w:t>
      </w:r>
      <w:proofErr w:type="spellStart"/>
      <w:r w:rsidRPr="00095CB5">
        <w:rPr>
          <w:rFonts w:ascii="Times New Roman" w:eastAsia="Times New Roman" w:hAnsi="Times New Roman" w:cs="Times New Roman"/>
          <w:color w:val="000000"/>
          <w:sz w:val="24"/>
          <w:szCs w:val="24"/>
          <w:lang w:eastAsia="fr-FR"/>
        </w:rPr>
        <w:t>antiarythmiques</w:t>
      </w:r>
      <w:proofErr w:type="spellEnd"/>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Anti-inflammatoires non stéroïdiens </w:t>
      </w:r>
      <w:r w:rsidRPr="00095CB5">
        <w:rPr>
          <w:rFonts w:ascii="Times New Roman" w:eastAsia="Times New Roman" w:hAnsi="Times New Roman" w:cs="Times New Roman"/>
          <w:color w:val="000000"/>
          <w:sz w:val="24"/>
          <w:szCs w:val="24"/>
          <w:lang w:eastAsia="fr-FR"/>
        </w:rPr>
        <w:t xml:space="preserve">: lorsque les antagonistes de l'angiotensine II sont administrés simultanément avec des anti-inflammatoires non stéroïdiens (c'est à dire les inhibiteurs sélectifs de la </w:t>
      </w:r>
      <w:proofErr w:type="spellStart"/>
      <w:r w:rsidRPr="00095CB5">
        <w:rPr>
          <w:rFonts w:ascii="Times New Roman" w:eastAsia="Times New Roman" w:hAnsi="Times New Roman" w:cs="Times New Roman"/>
          <w:color w:val="000000"/>
          <w:sz w:val="24"/>
          <w:szCs w:val="24"/>
          <w:lang w:eastAsia="fr-FR"/>
        </w:rPr>
        <w:t>cyclo</w:t>
      </w:r>
      <w:proofErr w:type="spellEnd"/>
      <w:r w:rsidRPr="00095CB5">
        <w:rPr>
          <w:rFonts w:ascii="Times New Roman" w:eastAsia="Times New Roman" w:hAnsi="Times New Roman" w:cs="Times New Roman"/>
          <w:color w:val="000000"/>
          <w:sz w:val="24"/>
          <w:szCs w:val="24"/>
          <w:lang w:eastAsia="fr-FR"/>
        </w:rPr>
        <w:t xml:space="preserve">-oxygénase de type 2 (COX-2), l'acide acétylsalicylique (&gt; 3 g/jour) et les anti-inflammatoires non stéroïdiens non sélectifs), une atténuation de l'effet </w:t>
      </w:r>
      <w:proofErr w:type="spellStart"/>
      <w:r w:rsidRPr="00095CB5">
        <w:rPr>
          <w:rFonts w:ascii="Times New Roman" w:eastAsia="Times New Roman" w:hAnsi="Times New Roman" w:cs="Times New Roman"/>
          <w:color w:val="000000"/>
          <w:sz w:val="24"/>
          <w:szCs w:val="24"/>
          <w:lang w:eastAsia="fr-FR"/>
        </w:rPr>
        <w:t>anti-hypertenseur</w:t>
      </w:r>
      <w:proofErr w:type="spellEnd"/>
      <w:r w:rsidRPr="00095CB5">
        <w:rPr>
          <w:rFonts w:ascii="Times New Roman" w:eastAsia="Times New Roman" w:hAnsi="Times New Roman" w:cs="Times New Roman"/>
          <w:color w:val="000000"/>
          <w:sz w:val="24"/>
          <w:szCs w:val="24"/>
          <w:lang w:eastAsia="fr-FR"/>
        </w:rPr>
        <w:t xml:space="preserve"> peut se produire. Comme avec les inhibiteurs de l'enzyme de conversion de l'angiotensine, l'utilisation concomitante des antagonistes de l'angiotensine II et des anti-inflammatoires non stéroïdiens non sélectifs peut accroître le risque de détérioration de la fonction rénale, avec une possibilité d'insuffisance rénale aiguë, et une augmentation du potassium sérique en particulier chez les patients présentant une fonction rénale préalablement altérée. L'association devra être administrée avec prudence, en particulier chez les personnes âgées. Les patients devront être correctement hydratés et une surveillance de la fonction rénale devra être envisagée après l'initiation de l'association thérapeutique, puis périodiquement.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Autres informations sur les interactions de l'</w:t>
      </w:r>
      <w:proofErr w:type="spellStart"/>
      <w:r w:rsidRPr="00095CB5">
        <w:rPr>
          <w:rFonts w:ascii="Times New Roman" w:eastAsia="Times New Roman" w:hAnsi="Times New Roman" w:cs="Times New Roman"/>
          <w:color w:val="000000"/>
          <w:sz w:val="24"/>
          <w:szCs w:val="24"/>
          <w:u w:val="single"/>
          <w:lang w:eastAsia="fr-FR"/>
        </w:rPr>
        <w:t>irbésartan</w:t>
      </w:r>
      <w:proofErr w:type="spellEnd"/>
      <w:r w:rsidRPr="00095CB5">
        <w:rPr>
          <w:rFonts w:ascii="Times New Roman" w:eastAsia="Times New Roman" w:hAnsi="Times New Roman" w:cs="Times New Roman"/>
          <w:color w:val="000000"/>
          <w:sz w:val="24"/>
          <w:szCs w:val="24"/>
          <w:u w:val="single"/>
          <w:lang w:eastAsia="fr-FR"/>
        </w:rPr>
        <w:t xml:space="preserve"> </w:t>
      </w:r>
      <w:r w:rsidRPr="00095CB5">
        <w:rPr>
          <w:rFonts w:ascii="Times New Roman" w:eastAsia="Times New Roman" w:hAnsi="Times New Roman" w:cs="Times New Roman"/>
          <w:color w:val="000000"/>
          <w:sz w:val="24"/>
          <w:szCs w:val="24"/>
          <w:lang w:eastAsia="fr-FR"/>
        </w:rPr>
        <w:t>: dans les études cliniques, la pharmacocinétique de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n'a pas été modifiée par l'administration simultanée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est principalement métabolisé par le CYP2C9 et dans une moindre mesure par </w:t>
      </w:r>
      <w:proofErr w:type="spellStart"/>
      <w:r w:rsidRPr="00095CB5">
        <w:rPr>
          <w:rFonts w:ascii="Times New Roman" w:eastAsia="Times New Roman" w:hAnsi="Times New Roman" w:cs="Times New Roman"/>
          <w:color w:val="000000"/>
          <w:sz w:val="24"/>
          <w:szCs w:val="24"/>
          <w:lang w:eastAsia="fr-FR"/>
        </w:rPr>
        <w:t>glucuronidation</w:t>
      </w:r>
      <w:proofErr w:type="spellEnd"/>
      <w:r w:rsidRPr="00095CB5">
        <w:rPr>
          <w:rFonts w:ascii="Times New Roman" w:eastAsia="Times New Roman" w:hAnsi="Times New Roman" w:cs="Times New Roman"/>
          <w:color w:val="000000"/>
          <w:sz w:val="24"/>
          <w:szCs w:val="24"/>
          <w:lang w:eastAsia="fr-FR"/>
        </w:rPr>
        <w:t>. Il n'a pas été observé d'interactions pharmacocinétique et pharmacodynamique significatives quand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a été administré simultanément avec la </w:t>
      </w:r>
      <w:proofErr w:type="spellStart"/>
      <w:r w:rsidRPr="00095CB5">
        <w:rPr>
          <w:rFonts w:ascii="Times New Roman" w:eastAsia="Times New Roman" w:hAnsi="Times New Roman" w:cs="Times New Roman"/>
          <w:color w:val="000000"/>
          <w:sz w:val="24"/>
          <w:szCs w:val="24"/>
          <w:lang w:eastAsia="fr-FR"/>
        </w:rPr>
        <w:t>warfarine</w:t>
      </w:r>
      <w:proofErr w:type="spellEnd"/>
      <w:r w:rsidRPr="00095CB5">
        <w:rPr>
          <w:rFonts w:ascii="Times New Roman" w:eastAsia="Times New Roman" w:hAnsi="Times New Roman" w:cs="Times New Roman"/>
          <w:color w:val="000000"/>
          <w:sz w:val="24"/>
          <w:szCs w:val="24"/>
          <w:lang w:eastAsia="fr-FR"/>
        </w:rPr>
        <w:t>, un médicament métabolisé par le CYP2C9. Les effets des inducteurs du CYP2C9, tels que la rifampicine, sur la pharmacocinétique de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n'ont pas été évalués. La pharmacocinétique de la </w:t>
      </w:r>
      <w:proofErr w:type="spellStart"/>
      <w:r w:rsidRPr="00095CB5">
        <w:rPr>
          <w:rFonts w:ascii="Times New Roman" w:eastAsia="Times New Roman" w:hAnsi="Times New Roman" w:cs="Times New Roman"/>
          <w:color w:val="000000"/>
          <w:sz w:val="24"/>
          <w:szCs w:val="24"/>
          <w:lang w:eastAsia="fr-FR"/>
        </w:rPr>
        <w:t>digoxine</w:t>
      </w:r>
      <w:proofErr w:type="spellEnd"/>
      <w:r w:rsidRPr="00095CB5">
        <w:rPr>
          <w:rFonts w:ascii="Times New Roman" w:eastAsia="Times New Roman" w:hAnsi="Times New Roman" w:cs="Times New Roman"/>
          <w:color w:val="000000"/>
          <w:sz w:val="24"/>
          <w:szCs w:val="24"/>
          <w:lang w:eastAsia="fr-FR"/>
        </w:rPr>
        <w:t xml:space="preserve"> n'a pas été altérée par l'administration simultanée d'</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Autres informations sur les interactions de l'</w:t>
      </w:r>
      <w:proofErr w:type="spellStart"/>
      <w:r w:rsidRPr="00095CB5">
        <w:rPr>
          <w:rFonts w:ascii="Times New Roman" w:eastAsia="Times New Roman" w:hAnsi="Times New Roman" w:cs="Times New Roman"/>
          <w:color w:val="000000"/>
          <w:sz w:val="24"/>
          <w:szCs w:val="24"/>
          <w:u w:val="single"/>
          <w:lang w:eastAsia="fr-FR"/>
        </w:rPr>
        <w:t>hydrochlorothiazide</w:t>
      </w:r>
      <w:proofErr w:type="spellEnd"/>
      <w:r w:rsidRPr="00095CB5">
        <w:rPr>
          <w:rFonts w:ascii="Times New Roman" w:eastAsia="Times New Roman" w:hAnsi="Times New Roman" w:cs="Times New Roman"/>
          <w:color w:val="000000"/>
          <w:sz w:val="24"/>
          <w:szCs w:val="24"/>
          <w:u w:val="single"/>
          <w:lang w:eastAsia="fr-FR"/>
        </w:rPr>
        <w:t xml:space="preserve"> : </w:t>
      </w:r>
      <w:r w:rsidRPr="00095CB5">
        <w:rPr>
          <w:rFonts w:ascii="Times New Roman" w:eastAsia="Times New Roman" w:hAnsi="Times New Roman" w:cs="Times New Roman"/>
          <w:color w:val="000000"/>
          <w:sz w:val="24"/>
          <w:szCs w:val="24"/>
          <w:lang w:eastAsia="fr-FR"/>
        </w:rPr>
        <w:t xml:space="preserve">les médicaments suivants peuvent avoir une interaction lorsqu'ils sont administrés simultanément avec les diurétiques thiazidiques: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Alcool : </w:t>
      </w:r>
      <w:r w:rsidRPr="00095CB5">
        <w:rPr>
          <w:rFonts w:ascii="Times New Roman" w:eastAsia="Times New Roman" w:hAnsi="Times New Roman" w:cs="Times New Roman"/>
          <w:color w:val="000000"/>
          <w:sz w:val="24"/>
          <w:szCs w:val="24"/>
          <w:lang w:eastAsia="fr-FR"/>
        </w:rPr>
        <w:t xml:space="preserve">une potentialisation de l'hypotension orthostatique peut survenir;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Antidiabétiques (médicaments oraux et insulines) </w:t>
      </w:r>
      <w:r w:rsidRPr="00095CB5">
        <w:rPr>
          <w:rFonts w:ascii="Times New Roman" w:eastAsia="Times New Roman" w:hAnsi="Times New Roman" w:cs="Times New Roman"/>
          <w:color w:val="000000"/>
          <w:sz w:val="24"/>
          <w:szCs w:val="24"/>
          <w:lang w:eastAsia="fr-FR"/>
        </w:rPr>
        <w:t xml:space="preserve">: une adaptation </w:t>
      </w:r>
      <w:proofErr w:type="spellStart"/>
      <w:r w:rsidRPr="00095CB5">
        <w:rPr>
          <w:rFonts w:ascii="Times New Roman" w:eastAsia="Times New Roman" w:hAnsi="Times New Roman" w:cs="Times New Roman"/>
          <w:color w:val="000000"/>
          <w:sz w:val="24"/>
          <w:szCs w:val="24"/>
          <w:lang w:eastAsia="fr-FR"/>
        </w:rPr>
        <w:t>posologique</w:t>
      </w:r>
      <w:proofErr w:type="spellEnd"/>
      <w:r w:rsidRPr="00095CB5">
        <w:rPr>
          <w:rFonts w:ascii="Times New Roman" w:eastAsia="Times New Roman" w:hAnsi="Times New Roman" w:cs="Times New Roman"/>
          <w:color w:val="000000"/>
          <w:sz w:val="24"/>
          <w:szCs w:val="24"/>
          <w:lang w:eastAsia="fr-FR"/>
        </w:rPr>
        <w:t xml:space="preserve"> de l'antidiabétique peut être nécessaire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lastRenderedPageBreak/>
        <w:t xml:space="preserve">Résines : </w:t>
      </w:r>
      <w:proofErr w:type="spellStart"/>
      <w:r w:rsidRPr="00095CB5">
        <w:rPr>
          <w:rFonts w:ascii="Times New Roman" w:eastAsia="Times New Roman" w:hAnsi="Times New Roman" w:cs="Times New Roman"/>
          <w:i/>
          <w:iCs/>
          <w:color w:val="000000"/>
          <w:sz w:val="24"/>
          <w:szCs w:val="24"/>
          <w:lang w:eastAsia="fr-FR"/>
        </w:rPr>
        <w:t>colestyramine</w:t>
      </w:r>
      <w:proofErr w:type="spellEnd"/>
      <w:r w:rsidRPr="00095CB5">
        <w:rPr>
          <w:rFonts w:ascii="Times New Roman" w:eastAsia="Times New Roman" w:hAnsi="Times New Roman" w:cs="Times New Roman"/>
          <w:i/>
          <w:iCs/>
          <w:color w:val="000000"/>
          <w:sz w:val="24"/>
          <w:szCs w:val="24"/>
          <w:lang w:eastAsia="fr-FR"/>
        </w:rPr>
        <w:t xml:space="preserve"> et </w:t>
      </w:r>
      <w:proofErr w:type="spellStart"/>
      <w:r w:rsidRPr="00095CB5">
        <w:rPr>
          <w:rFonts w:ascii="Times New Roman" w:eastAsia="Times New Roman" w:hAnsi="Times New Roman" w:cs="Times New Roman"/>
          <w:i/>
          <w:iCs/>
          <w:color w:val="000000"/>
          <w:sz w:val="24"/>
          <w:szCs w:val="24"/>
          <w:lang w:eastAsia="fr-FR"/>
        </w:rPr>
        <w:t>colestipol</w:t>
      </w:r>
      <w:proofErr w:type="spellEnd"/>
      <w:r w:rsidRPr="00095CB5">
        <w:rPr>
          <w:rFonts w:ascii="Times New Roman" w:eastAsia="Times New Roman" w:hAnsi="Times New Roman" w:cs="Times New Roman"/>
          <w:color w:val="000000"/>
          <w:sz w:val="24"/>
          <w:szCs w:val="24"/>
          <w:lang w:eastAsia="fr-FR"/>
        </w:rPr>
        <w:t xml:space="preserve"> : l'absorption de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est altérée en présence de résines échangeuses d'anions. </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doit être pris au moins une heure avant ou quatre heures après ces médicaments; </w:t>
      </w:r>
    </w:p>
    <w:p w:rsidR="004C3EF1" w:rsidRPr="00095CB5" w:rsidRDefault="004C3EF1" w:rsidP="004C3EF1">
      <w:pPr>
        <w:spacing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Corticostéroïdes, ACTH : </w:t>
      </w:r>
      <w:r w:rsidRPr="00095CB5">
        <w:rPr>
          <w:rFonts w:ascii="Times New Roman" w:eastAsia="Times New Roman" w:hAnsi="Times New Roman" w:cs="Times New Roman"/>
          <w:color w:val="000000"/>
          <w:sz w:val="24"/>
          <w:szCs w:val="24"/>
          <w:lang w:eastAsia="fr-FR"/>
        </w:rPr>
        <w:t xml:space="preserve">une déplétion électrolytique, et en particulier, une hypokaliémie, peut être aggravée;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i/>
          <w:iCs/>
          <w:color w:val="000000"/>
          <w:sz w:val="24"/>
          <w:szCs w:val="24"/>
          <w:lang w:eastAsia="fr-FR"/>
        </w:rPr>
        <w:t>Digitaliques</w:t>
      </w:r>
      <w:proofErr w:type="spellEnd"/>
      <w:r w:rsidRPr="00095CB5">
        <w:rPr>
          <w:rFonts w:ascii="Times New Roman" w:eastAsia="Times New Roman" w:hAnsi="Times New Roman" w:cs="Times New Roman"/>
          <w:i/>
          <w:iCs/>
          <w:color w:val="000000"/>
          <w:sz w:val="24"/>
          <w:szCs w:val="24"/>
          <w:lang w:eastAsia="fr-FR"/>
        </w:rPr>
        <w:t xml:space="preserve"> : </w:t>
      </w:r>
      <w:r w:rsidRPr="00095CB5">
        <w:rPr>
          <w:rFonts w:ascii="Times New Roman" w:eastAsia="Times New Roman" w:hAnsi="Times New Roman" w:cs="Times New Roman"/>
          <w:color w:val="000000"/>
          <w:sz w:val="24"/>
          <w:szCs w:val="24"/>
          <w:lang w:eastAsia="fr-FR"/>
        </w:rPr>
        <w:t>l'hypokaliémie ou l'</w:t>
      </w:r>
      <w:proofErr w:type="spellStart"/>
      <w:r w:rsidRPr="00095CB5">
        <w:rPr>
          <w:rFonts w:ascii="Times New Roman" w:eastAsia="Times New Roman" w:hAnsi="Times New Roman" w:cs="Times New Roman"/>
          <w:color w:val="000000"/>
          <w:sz w:val="24"/>
          <w:szCs w:val="24"/>
          <w:lang w:eastAsia="fr-FR"/>
        </w:rPr>
        <w:t>hypomagnésémie</w:t>
      </w:r>
      <w:proofErr w:type="spellEnd"/>
      <w:r w:rsidRPr="00095CB5">
        <w:rPr>
          <w:rFonts w:ascii="Times New Roman" w:eastAsia="Times New Roman" w:hAnsi="Times New Roman" w:cs="Times New Roman"/>
          <w:color w:val="000000"/>
          <w:sz w:val="24"/>
          <w:szCs w:val="24"/>
          <w:lang w:eastAsia="fr-FR"/>
        </w:rPr>
        <w:t xml:space="preserve"> induite par les thiazidiques favorise l'apparition de troubles du rythme cardiaque induits par les </w:t>
      </w:r>
      <w:proofErr w:type="spellStart"/>
      <w:r w:rsidRPr="00095CB5">
        <w:rPr>
          <w:rFonts w:ascii="Times New Roman" w:eastAsia="Times New Roman" w:hAnsi="Times New Roman" w:cs="Times New Roman"/>
          <w:color w:val="000000"/>
          <w:sz w:val="24"/>
          <w:szCs w:val="24"/>
          <w:lang w:eastAsia="fr-FR"/>
        </w:rPr>
        <w:t>digitaliques</w:t>
      </w:r>
      <w:proofErr w:type="spellEnd"/>
      <w:r w:rsidRPr="00095CB5">
        <w:rPr>
          <w:rFonts w:ascii="Times New Roman" w:eastAsia="Times New Roman" w:hAnsi="Times New Roman" w:cs="Times New Roman"/>
          <w:color w:val="000000"/>
          <w:sz w:val="24"/>
          <w:szCs w:val="24"/>
          <w:lang w:eastAsia="fr-FR"/>
        </w:rPr>
        <w:t xml:space="preserv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after="120" w:line="240" w:lineRule="auto"/>
        <w:ind w:left="11" w:hanging="11"/>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Anti-inflammatoires non stéroïdiens : </w:t>
      </w:r>
      <w:r w:rsidRPr="00095CB5">
        <w:rPr>
          <w:rFonts w:ascii="Times New Roman" w:eastAsia="Times New Roman" w:hAnsi="Times New Roman" w:cs="Times New Roman"/>
          <w:color w:val="000000"/>
          <w:sz w:val="24"/>
          <w:szCs w:val="24"/>
          <w:lang w:eastAsia="fr-FR"/>
        </w:rPr>
        <w:t xml:space="preserve">l'administration d'un anti-inflammatoire non stéroïdien peut réduire les effets diurétiques, </w:t>
      </w:r>
      <w:proofErr w:type="spellStart"/>
      <w:r w:rsidRPr="00095CB5">
        <w:rPr>
          <w:rFonts w:ascii="Times New Roman" w:eastAsia="Times New Roman" w:hAnsi="Times New Roman" w:cs="Times New Roman"/>
          <w:color w:val="000000"/>
          <w:sz w:val="24"/>
          <w:szCs w:val="24"/>
          <w:lang w:eastAsia="fr-FR"/>
        </w:rPr>
        <w:t>natriurétiques</w:t>
      </w:r>
      <w:proofErr w:type="spellEnd"/>
      <w:r w:rsidRPr="00095CB5">
        <w:rPr>
          <w:rFonts w:ascii="Times New Roman" w:eastAsia="Times New Roman" w:hAnsi="Times New Roman" w:cs="Times New Roman"/>
          <w:color w:val="000000"/>
          <w:sz w:val="24"/>
          <w:szCs w:val="24"/>
          <w:lang w:eastAsia="fr-FR"/>
        </w:rPr>
        <w:t xml:space="preserve"> et antihypertenseurs des diurétiques thiazidiques chez certains patients;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Amines </w:t>
      </w:r>
      <w:proofErr w:type="spellStart"/>
      <w:r w:rsidRPr="00095CB5">
        <w:rPr>
          <w:rFonts w:ascii="Times New Roman" w:eastAsia="Times New Roman" w:hAnsi="Times New Roman" w:cs="Times New Roman"/>
          <w:i/>
          <w:iCs/>
          <w:color w:val="000000"/>
          <w:sz w:val="24"/>
          <w:szCs w:val="24"/>
          <w:lang w:eastAsia="fr-FR"/>
        </w:rPr>
        <w:t>vasopressives</w:t>
      </w:r>
      <w:proofErr w:type="spellEnd"/>
      <w:r w:rsidRPr="00095CB5">
        <w:rPr>
          <w:rFonts w:ascii="Times New Roman" w:eastAsia="Times New Roman" w:hAnsi="Times New Roman" w:cs="Times New Roman"/>
          <w:i/>
          <w:iCs/>
          <w:color w:val="000000"/>
          <w:sz w:val="24"/>
          <w:szCs w:val="24"/>
          <w:lang w:eastAsia="fr-FR"/>
        </w:rPr>
        <w:t xml:space="preserve"> (par exemple noradrénaline) : </w:t>
      </w:r>
      <w:r w:rsidRPr="00095CB5">
        <w:rPr>
          <w:rFonts w:ascii="Times New Roman" w:eastAsia="Times New Roman" w:hAnsi="Times New Roman" w:cs="Times New Roman"/>
          <w:color w:val="000000"/>
          <w:sz w:val="24"/>
          <w:szCs w:val="24"/>
          <w:lang w:eastAsia="fr-FR"/>
        </w:rPr>
        <w:t xml:space="preserve">l'effet des amines </w:t>
      </w:r>
      <w:proofErr w:type="spellStart"/>
      <w:r w:rsidRPr="00095CB5">
        <w:rPr>
          <w:rFonts w:ascii="Times New Roman" w:eastAsia="Times New Roman" w:hAnsi="Times New Roman" w:cs="Times New Roman"/>
          <w:color w:val="000000"/>
          <w:sz w:val="24"/>
          <w:szCs w:val="24"/>
          <w:lang w:eastAsia="fr-FR"/>
        </w:rPr>
        <w:t>vasopressives</w:t>
      </w:r>
      <w:proofErr w:type="spellEnd"/>
      <w:r w:rsidRPr="00095CB5">
        <w:rPr>
          <w:rFonts w:ascii="Times New Roman" w:eastAsia="Times New Roman" w:hAnsi="Times New Roman" w:cs="Times New Roman"/>
          <w:color w:val="000000"/>
          <w:sz w:val="24"/>
          <w:szCs w:val="24"/>
          <w:lang w:eastAsia="fr-FR"/>
        </w:rPr>
        <w:t xml:space="preserve"> peut être atténué, mais pas suffisamment pour en exclure l'usage;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Myorelaxants non-dépolarisants (par exemple </w:t>
      </w:r>
      <w:proofErr w:type="spellStart"/>
      <w:r w:rsidRPr="00095CB5">
        <w:rPr>
          <w:rFonts w:ascii="Times New Roman" w:eastAsia="Times New Roman" w:hAnsi="Times New Roman" w:cs="Times New Roman"/>
          <w:i/>
          <w:iCs/>
          <w:color w:val="000000"/>
          <w:sz w:val="24"/>
          <w:szCs w:val="24"/>
          <w:lang w:eastAsia="fr-FR"/>
        </w:rPr>
        <w:t>tubocurarine</w:t>
      </w:r>
      <w:proofErr w:type="spellEnd"/>
      <w:r w:rsidRPr="00095CB5">
        <w:rPr>
          <w:rFonts w:ascii="Times New Roman" w:eastAsia="Times New Roman" w:hAnsi="Times New Roman" w:cs="Times New Roman"/>
          <w:i/>
          <w:iCs/>
          <w:color w:val="000000"/>
          <w:sz w:val="24"/>
          <w:szCs w:val="24"/>
          <w:lang w:eastAsia="fr-FR"/>
        </w:rPr>
        <w:t xml:space="preserve">) : </w:t>
      </w:r>
      <w:r w:rsidRPr="00095CB5">
        <w:rPr>
          <w:rFonts w:ascii="Times New Roman" w:eastAsia="Times New Roman" w:hAnsi="Times New Roman" w:cs="Times New Roman"/>
          <w:color w:val="000000"/>
          <w:sz w:val="24"/>
          <w:szCs w:val="24"/>
          <w:lang w:eastAsia="fr-FR"/>
        </w:rPr>
        <w:t>l'effet des myorelaxants non-dépolarisants peut être potentialisé par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Médicaments hypo-</w:t>
      </w:r>
      <w:proofErr w:type="spellStart"/>
      <w:r w:rsidRPr="00095CB5">
        <w:rPr>
          <w:rFonts w:ascii="Times New Roman" w:eastAsia="Times New Roman" w:hAnsi="Times New Roman" w:cs="Times New Roman"/>
          <w:i/>
          <w:iCs/>
          <w:color w:val="000000"/>
          <w:sz w:val="24"/>
          <w:szCs w:val="24"/>
          <w:lang w:eastAsia="fr-FR"/>
        </w:rPr>
        <w:t>uricémiants</w:t>
      </w:r>
      <w:proofErr w:type="spellEnd"/>
      <w:r w:rsidRPr="00095CB5">
        <w:rPr>
          <w:rFonts w:ascii="Times New Roman" w:eastAsia="Times New Roman" w:hAnsi="Times New Roman" w:cs="Times New Roman"/>
          <w:i/>
          <w:iCs/>
          <w:color w:val="000000"/>
          <w:sz w:val="24"/>
          <w:szCs w:val="24"/>
          <w:lang w:eastAsia="fr-FR"/>
        </w:rPr>
        <w:t xml:space="preserve"> : </w:t>
      </w:r>
      <w:r w:rsidRPr="00095CB5">
        <w:rPr>
          <w:rFonts w:ascii="Times New Roman" w:eastAsia="Times New Roman" w:hAnsi="Times New Roman" w:cs="Times New Roman"/>
          <w:color w:val="000000"/>
          <w:sz w:val="24"/>
          <w:szCs w:val="24"/>
          <w:lang w:eastAsia="fr-FR"/>
        </w:rPr>
        <w:t>une adaptation de la posologie des médicaments hypo-</w:t>
      </w:r>
      <w:proofErr w:type="spellStart"/>
      <w:r w:rsidRPr="00095CB5">
        <w:rPr>
          <w:rFonts w:ascii="Times New Roman" w:eastAsia="Times New Roman" w:hAnsi="Times New Roman" w:cs="Times New Roman"/>
          <w:color w:val="000000"/>
          <w:sz w:val="24"/>
          <w:szCs w:val="24"/>
          <w:lang w:eastAsia="fr-FR"/>
        </w:rPr>
        <w:t>uricémiants</w:t>
      </w:r>
      <w:proofErr w:type="spellEnd"/>
      <w:r w:rsidRPr="00095CB5">
        <w:rPr>
          <w:rFonts w:ascii="Times New Roman" w:eastAsia="Times New Roman" w:hAnsi="Times New Roman" w:cs="Times New Roman"/>
          <w:color w:val="000000"/>
          <w:sz w:val="24"/>
          <w:szCs w:val="24"/>
          <w:lang w:eastAsia="fr-FR"/>
        </w:rPr>
        <w:t xml:space="preserve"> peut s'avérer nécessaire puisque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peut élever le taux d'acide urique sérique. Une augmentation du dosage de </w:t>
      </w:r>
      <w:proofErr w:type="spellStart"/>
      <w:r w:rsidRPr="00095CB5">
        <w:rPr>
          <w:rFonts w:ascii="Times New Roman" w:eastAsia="Times New Roman" w:hAnsi="Times New Roman" w:cs="Times New Roman"/>
          <w:color w:val="000000"/>
          <w:sz w:val="24"/>
          <w:szCs w:val="24"/>
          <w:lang w:eastAsia="fr-FR"/>
        </w:rPr>
        <w:t>probénécide</w:t>
      </w:r>
      <w:proofErr w:type="spellEnd"/>
      <w:r w:rsidRPr="00095CB5">
        <w:rPr>
          <w:rFonts w:ascii="Times New Roman" w:eastAsia="Times New Roman" w:hAnsi="Times New Roman" w:cs="Times New Roman"/>
          <w:color w:val="000000"/>
          <w:sz w:val="24"/>
          <w:szCs w:val="24"/>
          <w:lang w:eastAsia="fr-FR"/>
        </w:rPr>
        <w:t xml:space="preserve"> ou de </w:t>
      </w:r>
      <w:proofErr w:type="spellStart"/>
      <w:r w:rsidRPr="00095CB5">
        <w:rPr>
          <w:rFonts w:ascii="Times New Roman" w:eastAsia="Times New Roman" w:hAnsi="Times New Roman" w:cs="Times New Roman"/>
          <w:color w:val="000000"/>
          <w:sz w:val="24"/>
          <w:szCs w:val="24"/>
          <w:lang w:eastAsia="fr-FR"/>
        </w:rPr>
        <w:t>sulfinpyrazone</w:t>
      </w:r>
      <w:proofErr w:type="spellEnd"/>
      <w:r w:rsidRPr="00095CB5">
        <w:rPr>
          <w:rFonts w:ascii="Times New Roman" w:eastAsia="Times New Roman" w:hAnsi="Times New Roman" w:cs="Times New Roman"/>
          <w:color w:val="000000"/>
          <w:sz w:val="24"/>
          <w:szCs w:val="24"/>
          <w:lang w:eastAsia="fr-FR"/>
        </w:rPr>
        <w:t xml:space="preserve"> peut être nécessaire. L'administration simultanée de diurétiques thiazidiques peut augmenter l'incidence des réactions d'hypersensibilité à l'allopurinol; </w:t>
      </w:r>
    </w:p>
    <w:p w:rsidR="004C3EF1" w:rsidRPr="00095CB5" w:rsidRDefault="004C3EF1" w:rsidP="004C3EF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Sels de calcium : </w:t>
      </w:r>
      <w:r w:rsidRPr="00095CB5">
        <w:rPr>
          <w:rFonts w:ascii="Times New Roman" w:eastAsia="Times New Roman" w:hAnsi="Times New Roman" w:cs="Times New Roman"/>
          <w:color w:val="000000"/>
          <w:sz w:val="24"/>
          <w:szCs w:val="24"/>
          <w:lang w:eastAsia="fr-FR"/>
        </w:rPr>
        <w:t xml:space="preserve">en réduisant l'élimination du calcium, les diurétiques thiazidiques peuvent augmenter la calcémie. Dans le cas où une </w:t>
      </w:r>
      <w:proofErr w:type="spellStart"/>
      <w:r w:rsidRPr="00095CB5">
        <w:rPr>
          <w:rFonts w:ascii="Times New Roman" w:eastAsia="Times New Roman" w:hAnsi="Times New Roman" w:cs="Times New Roman"/>
          <w:color w:val="000000"/>
          <w:sz w:val="24"/>
          <w:szCs w:val="24"/>
          <w:lang w:eastAsia="fr-FR"/>
        </w:rPr>
        <w:t>supplémentation</w:t>
      </w:r>
      <w:proofErr w:type="spellEnd"/>
      <w:r w:rsidRPr="00095CB5">
        <w:rPr>
          <w:rFonts w:ascii="Times New Roman" w:eastAsia="Times New Roman" w:hAnsi="Times New Roman" w:cs="Times New Roman"/>
          <w:color w:val="000000"/>
          <w:sz w:val="24"/>
          <w:szCs w:val="24"/>
          <w:lang w:eastAsia="fr-FR"/>
        </w:rPr>
        <w:t xml:space="preserve"> calcique ou des médicaments </w:t>
      </w:r>
      <w:proofErr w:type="spellStart"/>
      <w:r w:rsidRPr="00095CB5">
        <w:rPr>
          <w:rFonts w:ascii="Times New Roman" w:eastAsia="Times New Roman" w:hAnsi="Times New Roman" w:cs="Times New Roman"/>
          <w:color w:val="000000"/>
          <w:sz w:val="24"/>
          <w:szCs w:val="24"/>
          <w:lang w:eastAsia="fr-FR"/>
        </w:rPr>
        <w:t>épargneurs</w:t>
      </w:r>
      <w:proofErr w:type="spellEnd"/>
      <w:r w:rsidRPr="00095CB5">
        <w:rPr>
          <w:rFonts w:ascii="Times New Roman" w:eastAsia="Times New Roman" w:hAnsi="Times New Roman" w:cs="Times New Roman"/>
          <w:color w:val="000000"/>
          <w:sz w:val="24"/>
          <w:szCs w:val="24"/>
          <w:lang w:eastAsia="fr-FR"/>
        </w:rPr>
        <w:t xml:space="preserve"> de calcium (par exemple traitement par la vitamine D) doivent être prescrits, il est nécessaire de surveiller le taux de calcium sérique et d'adapter la posologie du calcium en fonction des résultats;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i/>
          <w:iCs/>
          <w:color w:val="000000"/>
          <w:sz w:val="24"/>
          <w:szCs w:val="24"/>
          <w:lang w:eastAsia="fr-FR"/>
        </w:rPr>
        <w:t>Carbamazépine</w:t>
      </w:r>
      <w:proofErr w:type="spellEnd"/>
      <w:r w:rsidRPr="00095CB5">
        <w:rPr>
          <w:rFonts w:ascii="Times New Roman" w:eastAsia="Times New Roman" w:hAnsi="Times New Roman" w:cs="Times New Roman"/>
          <w:color w:val="000000"/>
          <w:sz w:val="24"/>
          <w:szCs w:val="24"/>
          <w:lang w:eastAsia="fr-FR"/>
        </w:rPr>
        <w:t xml:space="preserve"> : l'administration </w:t>
      </w:r>
      <w:proofErr w:type="spellStart"/>
      <w:r w:rsidRPr="00095CB5">
        <w:rPr>
          <w:rFonts w:ascii="Times New Roman" w:eastAsia="Times New Roman" w:hAnsi="Times New Roman" w:cs="Times New Roman"/>
          <w:color w:val="000000"/>
          <w:sz w:val="24"/>
          <w:szCs w:val="24"/>
          <w:lang w:eastAsia="fr-FR"/>
        </w:rPr>
        <w:t>concomittante</w:t>
      </w:r>
      <w:proofErr w:type="spellEnd"/>
      <w:r w:rsidRPr="00095CB5">
        <w:rPr>
          <w:rFonts w:ascii="Times New Roman" w:eastAsia="Times New Roman" w:hAnsi="Times New Roman" w:cs="Times New Roman"/>
          <w:color w:val="000000"/>
          <w:sz w:val="24"/>
          <w:szCs w:val="24"/>
          <w:lang w:eastAsia="fr-FR"/>
        </w:rPr>
        <w:t xml:space="preserve"> de </w:t>
      </w:r>
      <w:proofErr w:type="spellStart"/>
      <w:r w:rsidRPr="00095CB5">
        <w:rPr>
          <w:rFonts w:ascii="Times New Roman" w:eastAsia="Times New Roman" w:hAnsi="Times New Roman" w:cs="Times New Roman"/>
          <w:color w:val="000000"/>
          <w:sz w:val="24"/>
          <w:szCs w:val="24"/>
          <w:lang w:eastAsia="fr-FR"/>
        </w:rPr>
        <w:t>carbamazépine</w:t>
      </w:r>
      <w:proofErr w:type="spellEnd"/>
      <w:r w:rsidRPr="00095CB5">
        <w:rPr>
          <w:rFonts w:ascii="Times New Roman" w:eastAsia="Times New Roman" w:hAnsi="Times New Roman" w:cs="Times New Roman"/>
          <w:color w:val="000000"/>
          <w:sz w:val="24"/>
          <w:szCs w:val="24"/>
          <w:lang w:eastAsia="fr-FR"/>
        </w:rPr>
        <w:t xml:space="preserve"> et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a été associée à un risque d'hyponatrémie symptomatique. Il est nécessaire de surveiller les électrolytes en cas d'administration simultanée. Si possible, une autre classe de diurétiques doit être utilisée;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Autres interactions :</w:t>
      </w:r>
      <w:r w:rsidRPr="00095CB5">
        <w:rPr>
          <w:rFonts w:ascii="Times New Roman" w:eastAsia="Times New Roman" w:hAnsi="Times New Roman" w:cs="Times New Roman"/>
          <w:color w:val="000000"/>
          <w:sz w:val="24"/>
          <w:szCs w:val="24"/>
          <w:lang w:eastAsia="fr-FR"/>
        </w:rPr>
        <w:t xml:space="preserve"> l'effet hyperglycémiant des bêtabloquants et du </w:t>
      </w:r>
      <w:proofErr w:type="spellStart"/>
      <w:r w:rsidRPr="00095CB5">
        <w:rPr>
          <w:rFonts w:ascii="Times New Roman" w:eastAsia="Times New Roman" w:hAnsi="Times New Roman" w:cs="Times New Roman"/>
          <w:color w:val="000000"/>
          <w:sz w:val="24"/>
          <w:szCs w:val="24"/>
          <w:lang w:eastAsia="fr-FR"/>
        </w:rPr>
        <w:t>diazoxide</w:t>
      </w:r>
      <w:proofErr w:type="spellEnd"/>
      <w:r w:rsidRPr="00095CB5">
        <w:rPr>
          <w:rFonts w:ascii="Times New Roman" w:eastAsia="Times New Roman" w:hAnsi="Times New Roman" w:cs="Times New Roman"/>
          <w:color w:val="000000"/>
          <w:sz w:val="24"/>
          <w:szCs w:val="24"/>
          <w:lang w:eastAsia="fr-FR"/>
        </w:rPr>
        <w:t xml:space="preserve"> peut être augmenté par les thiazidiques. Les agents </w:t>
      </w:r>
      <w:proofErr w:type="spellStart"/>
      <w:r w:rsidRPr="00095CB5">
        <w:rPr>
          <w:rFonts w:ascii="Times New Roman" w:eastAsia="Times New Roman" w:hAnsi="Times New Roman" w:cs="Times New Roman"/>
          <w:color w:val="000000"/>
          <w:sz w:val="24"/>
          <w:szCs w:val="24"/>
          <w:lang w:eastAsia="fr-FR"/>
        </w:rPr>
        <w:t>anticholinergiques</w:t>
      </w:r>
      <w:proofErr w:type="spellEnd"/>
      <w:r w:rsidRPr="00095CB5">
        <w:rPr>
          <w:rFonts w:ascii="Times New Roman" w:eastAsia="Times New Roman" w:hAnsi="Times New Roman" w:cs="Times New Roman"/>
          <w:color w:val="000000"/>
          <w:sz w:val="24"/>
          <w:szCs w:val="24"/>
          <w:lang w:eastAsia="fr-FR"/>
        </w:rPr>
        <w:t xml:space="preserve"> (tels que l'atropine, le </w:t>
      </w:r>
      <w:proofErr w:type="spellStart"/>
      <w:r w:rsidRPr="00095CB5">
        <w:rPr>
          <w:rFonts w:ascii="Times New Roman" w:eastAsia="Times New Roman" w:hAnsi="Times New Roman" w:cs="Times New Roman"/>
          <w:color w:val="000000"/>
          <w:sz w:val="24"/>
          <w:szCs w:val="24"/>
          <w:lang w:eastAsia="fr-FR"/>
        </w:rPr>
        <w:t>beperidene</w:t>
      </w:r>
      <w:proofErr w:type="spellEnd"/>
      <w:r w:rsidRPr="00095CB5">
        <w:rPr>
          <w:rFonts w:ascii="Times New Roman" w:eastAsia="Times New Roman" w:hAnsi="Times New Roman" w:cs="Times New Roman"/>
          <w:color w:val="000000"/>
          <w:sz w:val="24"/>
          <w:szCs w:val="24"/>
          <w:lang w:eastAsia="fr-FR"/>
        </w:rPr>
        <w:t>) peuvent augmenter la biodisponibilité des diurétiques thiazidiques par diminution de la motilité gastro-intestinale et de la vitesse de vidange gastrique. Les thiazidiques peuvent augmenter le risque d'effets indésirables de l'</w:t>
      </w:r>
      <w:proofErr w:type="spellStart"/>
      <w:r w:rsidRPr="00095CB5">
        <w:rPr>
          <w:rFonts w:ascii="Times New Roman" w:eastAsia="Times New Roman" w:hAnsi="Times New Roman" w:cs="Times New Roman"/>
          <w:color w:val="000000"/>
          <w:sz w:val="24"/>
          <w:szCs w:val="24"/>
          <w:lang w:eastAsia="fr-FR"/>
        </w:rPr>
        <w:t>amantadine</w:t>
      </w:r>
      <w:proofErr w:type="spellEnd"/>
      <w:r w:rsidRPr="00095CB5">
        <w:rPr>
          <w:rFonts w:ascii="Times New Roman" w:eastAsia="Times New Roman" w:hAnsi="Times New Roman" w:cs="Times New Roman"/>
          <w:color w:val="000000"/>
          <w:sz w:val="24"/>
          <w:szCs w:val="24"/>
          <w:lang w:eastAsia="fr-FR"/>
        </w:rPr>
        <w:t xml:space="preserve">. Les thiazidiques peuvent réduire l'excrétion rénale des médicaments cytotoxiques (tels que </w:t>
      </w:r>
      <w:proofErr w:type="spellStart"/>
      <w:r w:rsidRPr="00095CB5">
        <w:rPr>
          <w:rFonts w:ascii="Times New Roman" w:eastAsia="Times New Roman" w:hAnsi="Times New Roman" w:cs="Times New Roman"/>
          <w:color w:val="000000"/>
          <w:sz w:val="24"/>
          <w:szCs w:val="24"/>
          <w:lang w:eastAsia="fr-FR"/>
        </w:rPr>
        <w:t>cyclophosphamide</w:t>
      </w:r>
      <w:proofErr w:type="spellEnd"/>
      <w:r w:rsidRPr="00095CB5">
        <w:rPr>
          <w:rFonts w:ascii="Times New Roman" w:eastAsia="Times New Roman" w:hAnsi="Times New Roman" w:cs="Times New Roman"/>
          <w:color w:val="000000"/>
          <w:sz w:val="24"/>
          <w:szCs w:val="24"/>
          <w:lang w:eastAsia="fr-FR"/>
        </w:rPr>
        <w:t xml:space="preserve">, </w:t>
      </w:r>
      <w:proofErr w:type="spellStart"/>
      <w:r w:rsidRPr="00095CB5">
        <w:rPr>
          <w:rFonts w:ascii="Times New Roman" w:eastAsia="Times New Roman" w:hAnsi="Times New Roman" w:cs="Times New Roman"/>
          <w:color w:val="000000"/>
          <w:sz w:val="24"/>
          <w:szCs w:val="24"/>
          <w:lang w:eastAsia="fr-FR"/>
        </w:rPr>
        <w:t>méthotrexate</w:t>
      </w:r>
      <w:proofErr w:type="spellEnd"/>
      <w:r w:rsidRPr="00095CB5">
        <w:rPr>
          <w:rFonts w:ascii="Times New Roman" w:eastAsia="Times New Roman" w:hAnsi="Times New Roman" w:cs="Times New Roman"/>
          <w:color w:val="000000"/>
          <w:sz w:val="24"/>
          <w:szCs w:val="24"/>
          <w:lang w:eastAsia="fr-FR"/>
        </w:rPr>
        <w:t xml:space="preserve">) et potentialisent leurs effets </w:t>
      </w:r>
      <w:proofErr w:type="spellStart"/>
      <w:r w:rsidRPr="00095CB5">
        <w:rPr>
          <w:rFonts w:ascii="Times New Roman" w:eastAsia="Times New Roman" w:hAnsi="Times New Roman" w:cs="Times New Roman"/>
          <w:color w:val="000000"/>
          <w:sz w:val="24"/>
          <w:szCs w:val="24"/>
          <w:lang w:eastAsia="fr-FR"/>
        </w:rPr>
        <w:t>myélosuppressifs</w:t>
      </w:r>
      <w:proofErr w:type="spellEnd"/>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4.6. Grossesse et allaitement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Grossesse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L'utilisation des ARAII est déconseillée pendant le 1er trimestre de la grossesse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lastRenderedPageBreak/>
        <w:t xml:space="preserve">L'utilisation des ARAII est contre-indiquée aux 2ème et 3ème trimestres de la grossesse (voir rubriques </w:t>
      </w:r>
      <w:hyperlink w:anchor="contr" w:history="1">
        <w:r w:rsidRPr="00095CB5">
          <w:rPr>
            <w:rFonts w:ascii="Times New Roman" w:eastAsia="Times New Roman" w:hAnsi="Times New Roman" w:cs="Times New Roman"/>
            <w:color w:val="990000"/>
            <w:sz w:val="24"/>
            <w:szCs w:val="24"/>
            <w:u w:val="single"/>
            <w:lang w:eastAsia="fr-FR"/>
          </w:rPr>
          <w:t>Contre-indications</w:t>
        </w:r>
      </w:hyperlink>
      <w:r w:rsidRPr="00095CB5">
        <w:rPr>
          <w:rFonts w:ascii="Times New Roman" w:eastAsia="Times New Roman" w:hAnsi="Times New Roman" w:cs="Times New Roman"/>
          <w:color w:val="000000"/>
          <w:sz w:val="24"/>
          <w:szCs w:val="24"/>
          <w:lang w:eastAsia="fr-FR"/>
        </w:rPr>
        <w:t xml:space="preserve"> et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Les données épidémiologiques disponibles concernant le risque de malformation après exposition aux IEC lors du 1er trimestre de la grossesse ne permettent pas de conclure. Cependant une petite augmentation du risque de malformation congénitale ne peut être exclue. Il n'existe pas d'études épidémiologiques disponibles concernant l'utilisation des ARAII au 1er trimestre de la grossesse, cependant un risque similaire aux IEC pourrait exister pour cette classe. A moins que le traitement avec un ARAII soit considéré comme essentiel, il est recommandé de modifier le traitement antihypertenseur chez les patientes qui envisagent une grossesse pour un médicament ayant un profil de sécurité établi pendant la grossesse. En cas de diagnostic de grossesse, le traitement par un ARAII doit être arrêté immédiatement et si nécessaire un traitement alternatif sera débuté.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L'exposition aux ARAII au cours des 2ème et 3ème trimestres de la grossesse est connue pour entrainer une </w:t>
      </w:r>
      <w:proofErr w:type="spellStart"/>
      <w:r w:rsidRPr="00095CB5">
        <w:rPr>
          <w:rFonts w:ascii="Times New Roman" w:eastAsia="Times New Roman" w:hAnsi="Times New Roman" w:cs="Times New Roman"/>
          <w:color w:val="000000"/>
          <w:sz w:val="24"/>
          <w:szCs w:val="24"/>
          <w:lang w:eastAsia="fr-FR"/>
        </w:rPr>
        <w:t>foetotoxicité</w:t>
      </w:r>
      <w:proofErr w:type="spellEnd"/>
      <w:r w:rsidRPr="00095CB5">
        <w:rPr>
          <w:rFonts w:ascii="Times New Roman" w:eastAsia="Times New Roman" w:hAnsi="Times New Roman" w:cs="Times New Roman"/>
          <w:color w:val="000000"/>
          <w:sz w:val="24"/>
          <w:szCs w:val="24"/>
          <w:lang w:eastAsia="fr-FR"/>
        </w:rPr>
        <w:t xml:space="preserve"> (diminution de la fonction rénale, </w:t>
      </w:r>
      <w:proofErr w:type="spellStart"/>
      <w:r w:rsidRPr="00095CB5">
        <w:rPr>
          <w:rFonts w:ascii="Times New Roman" w:eastAsia="Times New Roman" w:hAnsi="Times New Roman" w:cs="Times New Roman"/>
          <w:color w:val="000000"/>
          <w:sz w:val="24"/>
          <w:szCs w:val="24"/>
          <w:lang w:eastAsia="fr-FR"/>
        </w:rPr>
        <w:t>oligohydramnios</w:t>
      </w:r>
      <w:proofErr w:type="spellEnd"/>
      <w:r w:rsidRPr="00095CB5">
        <w:rPr>
          <w:rFonts w:ascii="Times New Roman" w:eastAsia="Times New Roman" w:hAnsi="Times New Roman" w:cs="Times New Roman"/>
          <w:color w:val="000000"/>
          <w:sz w:val="24"/>
          <w:szCs w:val="24"/>
          <w:lang w:eastAsia="fr-FR"/>
        </w:rPr>
        <w:t xml:space="preserve">, retard d'ossification des os du crâne) et une toxicité chez le nouveau-né (insuffisance rénale, hypotension, hyperkaliémie) (voir rubrique </w:t>
      </w:r>
      <w:hyperlink w:anchor="secur" w:history="1">
        <w:r w:rsidRPr="00095CB5">
          <w:rPr>
            <w:rFonts w:ascii="Times New Roman" w:eastAsia="Times New Roman" w:hAnsi="Times New Roman" w:cs="Times New Roman"/>
            <w:color w:val="990000"/>
            <w:sz w:val="24"/>
            <w:szCs w:val="24"/>
            <w:u w:val="single"/>
            <w:lang w:eastAsia="fr-FR"/>
          </w:rPr>
          <w:t>Sécurité préclinique</w:t>
        </w:r>
      </w:hyperlink>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En cas d'exposition aux ARAII à partir du 2ème trimestre de la grossesse il est recommandé de faire une échographie fœtale afin de vérifier la fonction rénale et les os de la voute du crâne. Les nouveau-nés de mère traitée par un inhibiteur des récepteurs de l'angiotensine II doivent être surveillés sur le plan </w:t>
      </w:r>
      <w:proofErr w:type="spellStart"/>
      <w:r w:rsidRPr="00095CB5">
        <w:rPr>
          <w:rFonts w:ascii="Times New Roman" w:eastAsia="Times New Roman" w:hAnsi="Times New Roman" w:cs="Times New Roman"/>
          <w:color w:val="000000"/>
          <w:sz w:val="24"/>
          <w:szCs w:val="24"/>
          <w:lang w:eastAsia="fr-FR"/>
        </w:rPr>
        <w:t>tensionnel</w:t>
      </w:r>
      <w:proofErr w:type="spellEnd"/>
      <w:r w:rsidRPr="00095CB5">
        <w:rPr>
          <w:rFonts w:ascii="Times New Roman" w:eastAsia="Times New Roman" w:hAnsi="Times New Roman" w:cs="Times New Roman"/>
          <w:color w:val="000000"/>
          <w:sz w:val="24"/>
          <w:szCs w:val="24"/>
          <w:lang w:eastAsia="fr-FR"/>
        </w:rPr>
        <w:t xml:space="preserve"> (voir rubriques </w:t>
      </w:r>
      <w:hyperlink w:anchor="contr" w:history="1">
        <w:r w:rsidRPr="00095CB5">
          <w:rPr>
            <w:rFonts w:ascii="Times New Roman" w:eastAsia="Times New Roman" w:hAnsi="Times New Roman" w:cs="Times New Roman"/>
            <w:color w:val="990000"/>
            <w:sz w:val="24"/>
            <w:szCs w:val="24"/>
            <w:u w:val="single"/>
            <w:lang w:eastAsia="fr-FR"/>
          </w:rPr>
          <w:t>Contre-indications</w:t>
        </w:r>
      </w:hyperlink>
      <w:r w:rsidRPr="00095CB5">
        <w:rPr>
          <w:rFonts w:ascii="Times New Roman" w:eastAsia="Times New Roman" w:hAnsi="Times New Roman" w:cs="Times New Roman"/>
          <w:color w:val="000000"/>
          <w:sz w:val="24"/>
          <w:szCs w:val="24"/>
          <w:lang w:eastAsia="fr-FR"/>
        </w:rPr>
        <w:t xml:space="preserve"> et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Les thiazidiques traversent la barrière placentaire et sont retrouvés dans le sang du cordon ombilical. Ils peuvent provoquer une diminution de la perfusion placentaire, des perturbations électrolytiques fœtales et probablement les autres réactions décrites chez les adultes. Des cas de </w:t>
      </w:r>
      <w:proofErr w:type="spellStart"/>
      <w:r w:rsidRPr="00095CB5">
        <w:rPr>
          <w:rFonts w:ascii="Times New Roman" w:eastAsia="Times New Roman" w:hAnsi="Times New Roman" w:cs="Times New Roman"/>
          <w:color w:val="000000"/>
          <w:sz w:val="24"/>
          <w:szCs w:val="24"/>
          <w:lang w:eastAsia="fr-FR"/>
        </w:rPr>
        <w:t>thrombocytopénie</w:t>
      </w:r>
      <w:proofErr w:type="spellEnd"/>
      <w:r w:rsidRPr="00095CB5">
        <w:rPr>
          <w:rFonts w:ascii="Times New Roman" w:eastAsia="Times New Roman" w:hAnsi="Times New Roman" w:cs="Times New Roman"/>
          <w:color w:val="000000"/>
          <w:sz w:val="24"/>
          <w:szCs w:val="24"/>
          <w:lang w:eastAsia="fr-FR"/>
        </w:rPr>
        <w:t xml:space="preserve"> néonatale ou d'ictère fœtal ou néonatal ont été rapportés sous traitement maternel par thiazidique. </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contenant de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il n'est pas recommandé durant le premier trimestre de la grossesse. Un changement pour un traitement alternatif adapté devra être effectué avant d'envisager une grossesse.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Allaitement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Aucune information n'étant disponible concernant l'utilisation d</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au cours de l'allaitement, </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n'est pas recommandé. Il est conseillé d'utiliser des traitements alternatifs ayant un profil de sécurité mieux établi au cours de l'allaitement, en particulier pour l'allaitement des nouveau-nés et des prématurés.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4.7. Effets sur l'aptitude à conduire des véhicules et à utiliser des machines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Aucune étude n'a été réalisée sur les effets de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sur l'aptitude à conduire des véhicules et à utiliser des machines. En se basant sur ses propriétés pharmacodynamiques, il est peu probable que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affecte cette aptitude. Lors de la conduite de véhicules ou l'utilisation de machines, il devra être pris en compte que des vertiges ou de la fatigue peuvent survenir lors du traitement.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4.8. Effets indésirables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lastRenderedPageBreak/>
        <w:t xml:space="preserve">Association </w:t>
      </w:r>
      <w:proofErr w:type="spellStart"/>
      <w:r w:rsidRPr="00095CB5">
        <w:rPr>
          <w:rFonts w:ascii="Times New Roman" w:eastAsia="Times New Roman" w:hAnsi="Times New Roman" w:cs="Times New Roman"/>
          <w:color w:val="000000"/>
          <w:sz w:val="24"/>
          <w:szCs w:val="24"/>
          <w:u w:val="single"/>
          <w:lang w:eastAsia="fr-FR"/>
        </w:rPr>
        <w:t>Irbésartan</w:t>
      </w:r>
      <w:proofErr w:type="spellEnd"/>
      <w:r w:rsidRPr="00095CB5">
        <w:rPr>
          <w:rFonts w:ascii="Times New Roman" w:eastAsia="Times New Roman" w:hAnsi="Times New Roman" w:cs="Times New Roman"/>
          <w:color w:val="000000"/>
          <w:sz w:val="24"/>
          <w:szCs w:val="24"/>
          <w:u w:val="single"/>
          <w:lang w:eastAsia="fr-FR"/>
        </w:rPr>
        <w:t>/</w:t>
      </w:r>
      <w:proofErr w:type="spellStart"/>
      <w:r w:rsidRPr="00095CB5">
        <w:rPr>
          <w:rFonts w:ascii="Times New Roman" w:eastAsia="Times New Roman" w:hAnsi="Times New Roman" w:cs="Times New Roman"/>
          <w:color w:val="000000"/>
          <w:sz w:val="24"/>
          <w:szCs w:val="24"/>
          <w:u w:val="single"/>
          <w:lang w:eastAsia="fr-FR"/>
        </w:rPr>
        <w:t>hydrochlorothiazide</w:t>
      </w:r>
      <w:proofErr w:type="spellEnd"/>
      <w:r w:rsidRPr="00095CB5">
        <w:rPr>
          <w:rFonts w:ascii="Times New Roman" w:eastAsia="Times New Roman" w:hAnsi="Times New Roman" w:cs="Times New Roman"/>
          <w:color w:val="000000"/>
          <w:sz w:val="24"/>
          <w:szCs w:val="24"/>
          <w:u w:val="single"/>
          <w:lang w:eastAsia="fr-FR"/>
        </w:rPr>
        <w:t xml:space="preserve"> :</w:t>
      </w:r>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Parmi les 898 patients hypertendus qui ont reçu diverses posologies d'</w:t>
      </w:r>
      <w:proofErr w:type="spellStart"/>
      <w:r w:rsidRPr="00095CB5">
        <w:rPr>
          <w:rFonts w:ascii="Arial" w:eastAsia="Times New Roman" w:hAnsi="Arial" w:cs="Arial"/>
          <w:color w:val="000000"/>
          <w:sz w:val="24"/>
          <w:szCs w:val="24"/>
          <w:lang w:eastAsia="fr-FR"/>
        </w:rPr>
        <w:t>irbésartan</w:t>
      </w:r>
      <w:proofErr w:type="spellEnd"/>
      <w:r w:rsidRPr="00095CB5">
        <w:rPr>
          <w:rFonts w:ascii="Arial" w:eastAsia="Times New Roman" w:hAnsi="Arial" w:cs="Arial"/>
          <w:color w:val="000000"/>
          <w:sz w:val="24"/>
          <w:szCs w:val="24"/>
          <w:lang w:eastAsia="fr-FR"/>
        </w:rPr>
        <w:t>/</w:t>
      </w:r>
      <w:proofErr w:type="spellStart"/>
      <w:r w:rsidRPr="00095CB5">
        <w:rPr>
          <w:rFonts w:ascii="Arial" w:eastAsia="Times New Roman" w:hAnsi="Arial" w:cs="Arial"/>
          <w:color w:val="000000"/>
          <w:sz w:val="24"/>
          <w:szCs w:val="24"/>
          <w:lang w:eastAsia="fr-FR"/>
        </w:rPr>
        <w:t>hydrochlorothiazide</w:t>
      </w:r>
      <w:proofErr w:type="spellEnd"/>
      <w:r w:rsidRPr="00095CB5">
        <w:rPr>
          <w:rFonts w:ascii="Arial" w:eastAsia="Times New Roman" w:hAnsi="Arial" w:cs="Arial"/>
          <w:color w:val="000000"/>
          <w:sz w:val="24"/>
          <w:szCs w:val="24"/>
          <w:lang w:eastAsia="fr-FR"/>
        </w:rPr>
        <w:t xml:space="preserve"> (dans la fourchette de 37,5 mg/6,25 mg à 300 mg/25 mg) dans des études contrôlées versus placebo, 29,5% des patients ont eu des effets indésirables. Les effets indésirables les plus fréquemment rapportés ont été vertiges (5,6%), fatigue (4,9%), nausées/vomissements (1,8%), et miction anormale (1,4%). De plus, des augmentations de l'azote uréique du sang (BUN) (2,3%), de créatine kinase (1,7%) et de créatinine (1,1%) ont aussi été fréquemment observées lors des essais cliniques.</w:t>
      </w:r>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before="120"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Le tableau 1 décrit les effets indésirables rapportés spontanément ainsi que ceux observés dans les études contrôlées versus placebo.</w:t>
      </w:r>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La fréquence des effets indésirables listés ci-dessous est définie selon la convention suivante: très fréquent (≥ 1/10); fréquent (≥ 1/100, &lt; 1/10); peu fréquent (≥ 1/1.000, &lt; 1/100); rare (≥ 1/10.000, &lt; 1/1.000); très rare (&lt; 1/10.000). Dans chaque groupe de fréquence, les effets indésirables sont présentés par ordre décroissant de gravité.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Tableau</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1</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Effets indésirables au cours des essais cliniques contrôlés versus placebo et des notifications spontanées*</w:t>
      </w:r>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after="240" w:line="240" w:lineRule="auto"/>
        <w:rPr>
          <w:rFonts w:ascii="Times New Roman" w:eastAsia="Times New Roman" w:hAnsi="Times New Roman" w:cs="Times New Roman"/>
          <w:color w:val="000000"/>
          <w:sz w:val="24"/>
          <w:szCs w:val="24"/>
          <w:lang w:eastAsia="fr-FR"/>
        </w:rPr>
      </w:pPr>
    </w:p>
    <w:tbl>
      <w:tblPr>
        <w:tblW w:w="0" w:type="auto"/>
        <w:tblCellSpacing w:w="0" w:type="dxa"/>
        <w:tblCellMar>
          <w:left w:w="0" w:type="dxa"/>
          <w:right w:w="0" w:type="dxa"/>
        </w:tblCellMar>
        <w:tblLook w:val="04A0"/>
      </w:tblPr>
      <w:tblGrid>
        <w:gridCol w:w="2924"/>
        <w:gridCol w:w="2447"/>
        <w:gridCol w:w="3917"/>
      </w:tblGrid>
      <w:tr w:rsidR="004C3EF1" w:rsidRPr="00095CB5" w:rsidTr="007C4532">
        <w:trPr>
          <w:tblCellSpacing w:w="0" w:type="dxa"/>
        </w:trPr>
        <w:tc>
          <w:tcPr>
            <w:tcW w:w="3085" w:type="dxa"/>
            <w:vMerge w:val="restart"/>
            <w:tcBorders>
              <w:top w:val="single" w:sz="8" w:space="0" w:color="auto"/>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Investigations:</w:t>
            </w:r>
            <w:r w:rsidRPr="00095CB5">
              <w:rPr>
                <w:rFonts w:ascii="Times New Roman" w:eastAsia="Times New Roman" w:hAnsi="Times New Roman" w:cs="Times New Roman"/>
                <w:color w:val="000000"/>
                <w:sz w:val="24"/>
                <w:szCs w:val="24"/>
                <w:lang w:eastAsia="fr-FR"/>
              </w:rPr>
              <w:t xml:space="preserve"> </w:t>
            </w:r>
          </w:p>
        </w:tc>
        <w:tc>
          <w:tcPr>
            <w:tcW w:w="2693" w:type="dxa"/>
            <w:tcBorders>
              <w:top w:val="single" w:sz="8" w:space="0" w:color="auto"/>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Fréquents : </w:t>
            </w:r>
          </w:p>
        </w:tc>
        <w:tc>
          <w:tcPr>
            <w:tcW w:w="4302" w:type="dxa"/>
            <w:tcBorders>
              <w:top w:val="single" w:sz="8" w:space="0" w:color="auto"/>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augmentation des taux sanguins de l'azote</w:t>
            </w:r>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uréique, créatinine et créatine kinase </w:t>
            </w:r>
          </w:p>
        </w:tc>
      </w:tr>
      <w:tr w:rsidR="004C3EF1" w:rsidRPr="00095CB5" w:rsidTr="007C4532">
        <w:trPr>
          <w:tblCellSpacing w:w="0" w:type="dxa"/>
        </w:trPr>
        <w:tc>
          <w:tcPr>
            <w:tcW w:w="0" w:type="auto"/>
            <w:vMerge/>
            <w:tcBorders>
              <w:top w:val="single" w:sz="8" w:space="0" w:color="auto"/>
              <w:left w:val="nil"/>
              <w:bottom w:val="single" w:sz="8" w:space="0" w:color="auto"/>
              <w:right w:val="nil"/>
            </w:tcBorders>
            <w:vAlign w:val="center"/>
            <w:hideMark/>
          </w:tcPr>
          <w:p w:rsidR="004C3EF1" w:rsidRPr="00095CB5" w:rsidRDefault="004C3EF1"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baisses du potassium et du sodium plasmatiques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cardiaques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syncope, hypotension, </w:t>
            </w:r>
            <w:proofErr w:type="spellStart"/>
            <w:r w:rsidRPr="00095CB5">
              <w:rPr>
                <w:rFonts w:ascii="Times New Roman" w:eastAsia="Times New Roman" w:hAnsi="Times New Roman" w:cs="Times New Roman"/>
                <w:color w:val="000000"/>
                <w:sz w:val="24"/>
                <w:szCs w:val="24"/>
                <w:lang w:val="en-GB" w:eastAsia="fr-FR"/>
              </w:rPr>
              <w:t>tachycardie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oedème</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3085" w:type="dxa"/>
            <w:vMerge w:val="restart"/>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du </w:t>
            </w:r>
            <w:proofErr w:type="spellStart"/>
            <w:r w:rsidRPr="00095CB5">
              <w:rPr>
                <w:rFonts w:ascii="Times New Roman" w:eastAsia="Times New Roman" w:hAnsi="Times New Roman" w:cs="Times New Roman"/>
                <w:color w:val="000000"/>
                <w:sz w:val="24"/>
                <w:szCs w:val="24"/>
                <w:lang w:val="en-GB" w:eastAsia="fr-FR"/>
              </w:rPr>
              <w:t>système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nerveux</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Fréquents : </w:t>
            </w:r>
          </w:p>
        </w:tc>
        <w:tc>
          <w:tcPr>
            <w:tcW w:w="4302" w:type="dxa"/>
            <w:tcBorders>
              <w:top w:val="nil"/>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vertiges</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0" w:type="auto"/>
            <w:vMerge/>
            <w:tcBorders>
              <w:top w:val="nil"/>
              <w:left w:val="nil"/>
              <w:bottom w:val="single" w:sz="8" w:space="0" w:color="auto"/>
              <w:right w:val="nil"/>
            </w:tcBorders>
            <w:vAlign w:val="center"/>
            <w:hideMark/>
          </w:tcPr>
          <w:p w:rsidR="004C3EF1" w:rsidRPr="00095CB5" w:rsidRDefault="004C3EF1"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vertiges</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orthostatiques</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0" w:type="auto"/>
            <w:vMerge/>
            <w:tcBorders>
              <w:top w:val="nil"/>
              <w:left w:val="nil"/>
              <w:bottom w:val="single" w:sz="8" w:space="0" w:color="auto"/>
              <w:right w:val="nil"/>
            </w:tcBorders>
            <w:vAlign w:val="center"/>
            <w:hideMark/>
          </w:tcPr>
          <w:p w:rsidR="004C3EF1" w:rsidRPr="00095CB5" w:rsidRDefault="004C3EF1"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céphalées</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de l'oreille et du labyrinthe : </w:t>
            </w: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acouphènes</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Affections respiratoires,</w:t>
            </w:r>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thoraciques et </w:t>
            </w:r>
            <w:proofErr w:type="spellStart"/>
            <w:r w:rsidRPr="00095CB5">
              <w:rPr>
                <w:rFonts w:ascii="Times New Roman" w:eastAsia="Times New Roman" w:hAnsi="Times New Roman" w:cs="Times New Roman"/>
                <w:color w:val="000000"/>
                <w:sz w:val="24"/>
                <w:szCs w:val="24"/>
                <w:lang w:eastAsia="fr-FR"/>
              </w:rPr>
              <w:t>médiastinales</w:t>
            </w:r>
            <w:proofErr w:type="spellEnd"/>
            <w:r w:rsidRPr="00095CB5">
              <w:rPr>
                <w:rFonts w:ascii="Times New Roman" w:eastAsia="Times New Roman" w:hAnsi="Times New Roman" w:cs="Times New Roman"/>
                <w:color w:val="000000"/>
                <w:sz w:val="24"/>
                <w:szCs w:val="24"/>
                <w:lang w:eastAsia="fr-FR"/>
              </w:rPr>
              <w:t xml:space="preserve"> : </w:t>
            </w: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toux</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3085" w:type="dxa"/>
            <w:vMerge w:val="restart"/>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gastrointestinales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Fréquents : </w:t>
            </w:r>
          </w:p>
        </w:tc>
        <w:tc>
          <w:tcPr>
            <w:tcW w:w="4302" w:type="dxa"/>
            <w:tcBorders>
              <w:top w:val="nil"/>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nausées</w:t>
            </w:r>
            <w:proofErr w:type="spellEnd"/>
            <w:r w:rsidRPr="00095CB5">
              <w:rPr>
                <w:rFonts w:ascii="Times New Roman" w:eastAsia="Times New Roman" w:hAnsi="Times New Roman" w:cs="Times New Roman"/>
                <w:color w:val="000000"/>
                <w:sz w:val="24"/>
                <w:szCs w:val="24"/>
                <w:lang w:val="en-GB" w:eastAsia="fr-FR"/>
              </w:rPr>
              <w:t>/</w:t>
            </w:r>
            <w:proofErr w:type="spellStart"/>
            <w:r w:rsidRPr="00095CB5">
              <w:rPr>
                <w:rFonts w:ascii="Times New Roman" w:eastAsia="Times New Roman" w:hAnsi="Times New Roman" w:cs="Times New Roman"/>
                <w:color w:val="000000"/>
                <w:sz w:val="24"/>
                <w:szCs w:val="24"/>
                <w:lang w:val="en-GB" w:eastAsia="fr-FR"/>
              </w:rPr>
              <w:t>vomissements</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0" w:type="auto"/>
            <w:vMerge/>
            <w:tcBorders>
              <w:top w:val="nil"/>
              <w:left w:val="nil"/>
              <w:bottom w:val="single" w:sz="8" w:space="0" w:color="auto"/>
              <w:right w:val="nil"/>
            </w:tcBorders>
            <w:vAlign w:val="center"/>
            <w:hideMark/>
          </w:tcPr>
          <w:p w:rsidR="004C3EF1" w:rsidRPr="00095CB5" w:rsidRDefault="004C3EF1"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diarrhée</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0" w:type="auto"/>
            <w:vMerge/>
            <w:tcBorders>
              <w:top w:val="nil"/>
              <w:left w:val="nil"/>
              <w:bottom w:val="single" w:sz="8" w:space="0" w:color="auto"/>
              <w:right w:val="nil"/>
            </w:tcBorders>
            <w:vAlign w:val="center"/>
            <w:hideMark/>
          </w:tcPr>
          <w:p w:rsidR="004C3EF1" w:rsidRPr="00095CB5" w:rsidRDefault="004C3EF1"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dyspepsie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dysgeusie</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3085" w:type="dxa"/>
            <w:vMerge w:val="restart"/>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du rein et des voies urinaires : </w:t>
            </w:r>
          </w:p>
        </w:tc>
        <w:tc>
          <w:tcPr>
            <w:tcW w:w="2693" w:type="dxa"/>
            <w:tcBorders>
              <w:top w:val="nil"/>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Fréquents: </w:t>
            </w:r>
          </w:p>
        </w:tc>
        <w:tc>
          <w:tcPr>
            <w:tcW w:w="4302" w:type="dxa"/>
            <w:tcBorders>
              <w:top w:val="nil"/>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miction anormale</w:t>
            </w:r>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0" w:type="auto"/>
            <w:vMerge/>
            <w:tcBorders>
              <w:top w:val="nil"/>
              <w:left w:val="nil"/>
              <w:bottom w:val="single" w:sz="8" w:space="0" w:color="auto"/>
              <w:right w:val="nil"/>
            </w:tcBorders>
            <w:vAlign w:val="center"/>
            <w:hideMark/>
          </w:tcPr>
          <w:p w:rsidR="004C3EF1" w:rsidRPr="00095CB5" w:rsidRDefault="004C3EF1"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altération de la fonction rénale incluant des cas isolés d'insuffisance </w:t>
            </w:r>
            <w:r w:rsidRPr="00095CB5">
              <w:rPr>
                <w:rFonts w:ascii="Times New Roman" w:eastAsia="Times New Roman" w:hAnsi="Times New Roman" w:cs="Times New Roman"/>
                <w:color w:val="000000"/>
                <w:sz w:val="24"/>
                <w:szCs w:val="24"/>
                <w:lang w:eastAsia="fr-FR"/>
              </w:rPr>
              <w:lastRenderedPageBreak/>
              <w:t xml:space="preserve">rénale chez des patients à risque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3085" w:type="dxa"/>
            <w:vMerge w:val="restart"/>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lastRenderedPageBreak/>
              <w:t xml:space="preserve">Affections </w:t>
            </w:r>
            <w:proofErr w:type="spellStart"/>
            <w:r w:rsidRPr="00095CB5">
              <w:rPr>
                <w:rFonts w:ascii="Times New Roman" w:eastAsia="Times New Roman" w:hAnsi="Times New Roman" w:cs="Times New Roman"/>
                <w:color w:val="000000"/>
                <w:sz w:val="24"/>
                <w:szCs w:val="24"/>
                <w:lang w:val="en-GB" w:eastAsia="fr-FR"/>
              </w:rPr>
              <w:t>musculosquelettiques</w:t>
            </w:r>
            <w:proofErr w:type="spellEnd"/>
            <w:r w:rsidRPr="00095CB5">
              <w:rPr>
                <w:rFonts w:ascii="Times New Roman" w:eastAsia="Times New Roman" w:hAnsi="Times New Roman" w:cs="Times New Roman"/>
                <w:color w:val="000000"/>
                <w:sz w:val="24"/>
                <w:szCs w:val="24"/>
                <w:lang w:val="en-GB" w:eastAsia="fr-FR"/>
              </w:rPr>
              <w:t xml:space="preserve"> et </w:t>
            </w:r>
            <w:proofErr w:type="spellStart"/>
            <w:r w:rsidRPr="00095CB5">
              <w:rPr>
                <w:rFonts w:ascii="Times New Roman" w:eastAsia="Times New Roman" w:hAnsi="Times New Roman" w:cs="Times New Roman"/>
                <w:color w:val="000000"/>
                <w:sz w:val="24"/>
                <w:szCs w:val="24"/>
                <w:lang w:val="en-GB" w:eastAsia="fr-FR"/>
              </w:rPr>
              <w:t>systémiques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oedème</w:t>
            </w:r>
            <w:proofErr w:type="spellEnd"/>
            <w:r w:rsidRPr="00095CB5">
              <w:rPr>
                <w:rFonts w:ascii="Times New Roman" w:eastAsia="Times New Roman" w:hAnsi="Times New Roman" w:cs="Times New Roman"/>
                <w:color w:val="000000"/>
                <w:sz w:val="24"/>
                <w:szCs w:val="24"/>
                <w:lang w:val="en-GB" w:eastAsia="fr-FR"/>
              </w:rPr>
              <w:t xml:space="preserve"> des </w:t>
            </w:r>
            <w:proofErr w:type="spellStart"/>
            <w:r w:rsidRPr="00095CB5">
              <w:rPr>
                <w:rFonts w:ascii="Times New Roman" w:eastAsia="Times New Roman" w:hAnsi="Times New Roman" w:cs="Times New Roman"/>
                <w:color w:val="000000"/>
                <w:sz w:val="24"/>
                <w:szCs w:val="24"/>
                <w:lang w:val="en-GB" w:eastAsia="fr-FR"/>
              </w:rPr>
              <w:t>extremités</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0" w:type="auto"/>
            <w:vMerge/>
            <w:tcBorders>
              <w:top w:val="nil"/>
              <w:left w:val="nil"/>
              <w:bottom w:val="single" w:sz="8" w:space="0" w:color="auto"/>
              <w:right w:val="nil"/>
            </w:tcBorders>
            <w:vAlign w:val="center"/>
            <w:hideMark/>
          </w:tcPr>
          <w:p w:rsidR="004C3EF1" w:rsidRPr="00095CB5" w:rsidRDefault="004C3EF1"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arthralgies</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myalgies</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du métabolisme et de la nutrition : </w:t>
            </w: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hyperkaliémie</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vasculaires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Peu</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fréquents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bouffées</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vasomotrices</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Troubles généraux et accidents</w:t>
            </w:r>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liés au site d'administration : </w:t>
            </w: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Fréquents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fatigue</w:t>
            </w:r>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du </w:t>
            </w:r>
            <w:proofErr w:type="spellStart"/>
            <w:r w:rsidRPr="00095CB5">
              <w:rPr>
                <w:rFonts w:ascii="Times New Roman" w:eastAsia="Times New Roman" w:hAnsi="Times New Roman" w:cs="Times New Roman"/>
                <w:color w:val="000000"/>
                <w:sz w:val="24"/>
                <w:szCs w:val="24"/>
                <w:lang w:val="en-GB" w:eastAsia="fr-FR"/>
              </w:rPr>
              <w:t>système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immunitaire</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cas de réactions d'hypersensibilité, tels </w:t>
            </w:r>
            <w:proofErr w:type="gramStart"/>
            <w:r w:rsidRPr="00095CB5">
              <w:rPr>
                <w:rFonts w:ascii="Times New Roman" w:eastAsia="Times New Roman" w:hAnsi="Times New Roman" w:cs="Times New Roman"/>
                <w:color w:val="000000"/>
                <w:sz w:val="24"/>
                <w:szCs w:val="24"/>
                <w:lang w:eastAsia="fr-FR"/>
              </w:rPr>
              <w:t xml:space="preserve">que </w:t>
            </w:r>
            <w:proofErr w:type="spellStart"/>
            <w:r w:rsidRPr="00095CB5">
              <w:rPr>
                <w:rFonts w:ascii="Times New Roman" w:eastAsia="Times New Roman" w:hAnsi="Times New Roman" w:cs="Times New Roman"/>
                <w:color w:val="000000"/>
                <w:sz w:val="24"/>
                <w:szCs w:val="24"/>
                <w:lang w:eastAsia="fr-FR"/>
              </w:rPr>
              <w:t>angio</w:t>
            </w:r>
            <w:proofErr w:type="spellEnd"/>
            <w:r w:rsidRPr="00095CB5">
              <w:rPr>
                <w:rFonts w:ascii="Times New Roman" w:eastAsia="Times New Roman" w:hAnsi="Times New Roman" w:cs="Times New Roman"/>
                <w:color w:val="000000"/>
                <w:sz w:val="24"/>
                <w:szCs w:val="24"/>
                <w:lang w:eastAsia="fr-FR"/>
              </w:rPr>
              <w:t>-</w:t>
            </w:r>
            <w:proofErr w:type="spellStart"/>
            <w:r w:rsidRPr="00095CB5">
              <w:rPr>
                <w:rFonts w:ascii="Times New Roman" w:eastAsia="Times New Roman" w:hAnsi="Times New Roman" w:cs="Times New Roman"/>
                <w:color w:val="000000"/>
                <w:sz w:val="24"/>
                <w:szCs w:val="24"/>
                <w:lang w:eastAsia="fr-FR"/>
              </w:rPr>
              <w:t>oedème</w:t>
            </w:r>
            <w:proofErr w:type="spellEnd"/>
            <w:proofErr w:type="gramEnd"/>
            <w:r w:rsidRPr="00095CB5">
              <w:rPr>
                <w:rFonts w:ascii="Times New Roman" w:eastAsia="Times New Roman" w:hAnsi="Times New Roman" w:cs="Times New Roman"/>
                <w:color w:val="000000"/>
                <w:sz w:val="24"/>
                <w:szCs w:val="24"/>
                <w:lang w:eastAsia="fr-FR"/>
              </w:rPr>
              <w:t xml:space="preserve">, rash, urticaire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hépatobiliaires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 : </w:t>
            </w:r>
          </w:p>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ictères </w:t>
            </w:r>
          </w:p>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hépatites, anomalie de la fonction hépatique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des organes de la reproduction et du sein : </w:t>
            </w: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dysfonctionnement sexuel, modification de la libido </w:t>
            </w:r>
          </w:p>
        </w:tc>
      </w:tr>
    </w:tbl>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(ne peut être estimée sur la base des données disponibles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Information complémentaire sur chaque composant :</w:t>
      </w:r>
      <w:r w:rsidRPr="00095CB5">
        <w:rPr>
          <w:rFonts w:ascii="Times New Roman" w:eastAsia="Times New Roman" w:hAnsi="Times New Roman" w:cs="Times New Roman"/>
          <w:color w:val="000000"/>
          <w:sz w:val="24"/>
          <w:szCs w:val="24"/>
          <w:lang w:eastAsia="fr-FR"/>
        </w:rPr>
        <w:t xml:space="preserve"> en plus des effets indésirables listés ci-dessus pour l'association des composants, d'autres événements indésirables rapportés par ailleurs avec l'un des composants peuvent être des événements indésirables </w:t>
      </w:r>
      <w:r w:rsidRPr="00095CB5">
        <w:rPr>
          <w:rFonts w:ascii="Times New Roman" w:eastAsia="Times New Roman" w:hAnsi="Times New Roman" w:cs="Times New Roman"/>
          <w:caps/>
          <w:color w:val="000000"/>
          <w:sz w:val="24"/>
          <w:szCs w:val="24"/>
          <w:lang w:eastAsia="fr-FR"/>
        </w:rPr>
        <w:t>'Irbésartan/Hydrochlorothiazide</w:t>
      </w:r>
      <w:r w:rsidRPr="00095CB5">
        <w:rPr>
          <w:rFonts w:ascii="Times New Roman" w:eastAsia="Times New Roman" w:hAnsi="Times New Roman" w:cs="Times New Roman"/>
          <w:color w:val="000000"/>
          <w:sz w:val="24"/>
          <w:szCs w:val="24"/>
          <w:lang w:eastAsia="fr-FR"/>
        </w:rPr>
        <w:t>. Les tableaux 2 et 3 ci-dessous décrivent les évènements indésirables rapportés avec les composants individuels d</w:t>
      </w:r>
      <w:r w:rsidRPr="00095CB5">
        <w:rPr>
          <w:rFonts w:ascii="Times New Roman" w:eastAsia="Times New Roman" w:hAnsi="Times New Roman" w:cs="Times New Roman"/>
          <w:caps/>
          <w:color w:val="000000"/>
          <w:sz w:val="24"/>
          <w:szCs w:val="24"/>
          <w:lang w:eastAsia="fr-FR"/>
        </w:rPr>
        <w:t>'Irbésartan/Hydrochlorothiazide</w:t>
      </w:r>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after="240" w:line="240" w:lineRule="auto"/>
        <w:rPr>
          <w:rFonts w:ascii="Times New Roman" w:eastAsia="Times New Roman" w:hAnsi="Times New Roman" w:cs="Times New Roman"/>
          <w:color w:val="000000"/>
          <w:sz w:val="24"/>
          <w:szCs w:val="24"/>
          <w:lang w:eastAsia="fr-FR"/>
        </w:rPr>
      </w:pP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Tableau</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2</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Effets indésirables rapportés avec l'utilisation de l'</w:t>
      </w:r>
      <w:proofErr w:type="spellStart"/>
      <w:r w:rsidRPr="00095CB5">
        <w:rPr>
          <w:rFonts w:ascii="Arial" w:eastAsia="Times New Roman" w:hAnsi="Arial" w:cs="Arial"/>
          <w:color w:val="000000"/>
          <w:sz w:val="24"/>
          <w:szCs w:val="24"/>
          <w:lang w:eastAsia="fr-FR"/>
        </w:rPr>
        <w:t>irbésartan</w:t>
      </w:r>
      <w:proofErr w:type="spellEnd"/>
      <w:r w:rsidRPr="00095CB5">
        <w:rPr>
          <w:rFonts w:ascii="Arial" w:eastAsia="Times New Roman" w:hAnsi="Arial" w:cs="Arial"/>
          <w:color w:val="000000"/>
          <w:sz w:val="24"/>
          <w:szCs w:val="24"/>
          <w:lang w:eastAsia="fr-FR"/>
        </w:rPr>
        <w:t xml:space="preserve"> seul</w:t>
      </w:r>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after="240" w:line="240" w:lineRule="auto"/>
        <w:rPr>
          <w:rFonts w:ascii="Times New Roman" w:eastAsia="Times New Roman" w:hAnsi="Times New Roman" w:cs="Times New Roman"/>
          <w:color w:val="000000"/>
          <w:sz w:val="24"/>
          <w:szCs w:val="24"/>
          <w:lang w:eastAsia="fr-FR"/>
        </w:rPr>
      </w:pPr>
    </w:p>
    <w:tbl>
      <w:tblPr>
        <w:tblW w:w="0" w:type="auto"/>
        <w:tblCellSpacing w:w="0" w:type="dxa"/>
        <w:tblCellMar>
          <w:left w:w="0" w:type="dxa"/>
          <w:right w:w="0" w:type="dxa"/>
        </w:tblCellMar>
        <w:tblLook w:val="04A0"/>
      </w:tblPr>
      <w:tblGrid>
        <w:gridCol w:w="3148"/>
        <w:gridCol w:w="3062"/>
        <w:gridCol w:w="3078"/>
      </w:tblGrid>
      <w:tr w:rsidR="004C3EF1" w:rsidRPr="00095CB5" w:rsidTr="007C4532">
        <w:trPr>
          <w:tblCellSpacing w:w="0" w:type="dxa"/>
        </w:trPr>
        <w:tc>
          <w:tcPr>
            <w:tcW w:w="3360" w:type="dxa"/>
            <w:tcBorders>
              <w:top w:val="single" w:sz="8" w:space="0" w:color="auto"/>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Troubles généraux et anomalies au site d'administration : </w:t>
            </w:r>
          </w:p>
        </w:tc>
        <w:tc>
          <w:tcPr>
            <w:tcW w:w="3360" w:type="dxa"/>
            <w:tcBorders>
              <w:top w:val="single" w:sz="8" w:space="0" w:color="auto"/>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3360" w:type="dxa"/>
            <w:tcBorders>
              <w:top w:val="single" w:sz="8" w:space="0" w:color="auto"/>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douleur thoracique </w:t>
            </w:r>
          </w:p>
        </w:tc>
      </w:tr>
    </w:tbl>
    <w:p w:rsidR="004C3EF1" w:rsidRPr="00095CB5" w:rsidRDefault="004C3EF1" w:rsidP="004C3EF1">
      <w:pPr>
        <w:spacing w:after="240" w:line="240" w:lineRule="auto"/>
        <w:rPr>
          <w:rFonts w:ascii="Times New Roman" w:eastAsia="Times New Roman" w:hAnsi="Times New Roman" w:cs="Times New Roman"/>
          <w:color w:val="000000"/>
          <w:sz w:val="24"/>
          <w:szCs w:val="24"/>
          <w:lang w:eastAsia="fr-FR"/>
        </w:rPr>
      </w:pP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Tableau</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3</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Evènements indésirables (quel que soit leur imputabilité au médicament) rapportés avec l'utilisation de l'</w:t>
      </w:r>
      <w:proofErr w:type="spellStart"/>
      <w:r w:rsidRPr="00095CB5">
        <w:rPr>
          <w:rFonts w:ascii="Arial" w:eastAsia="Times New Roman" w:hAnsi="Arial" w:cs="Arial"/>
          <w:color w:val="000000"/>
          <w:sz w:val="24"/>
          <w:szCs w:val="24"/>
          <w:lang w:eastAsia="fr-FR"/>
        </w:rPr>
        <w:t>hydrochlorothiazide</w:t>
      </w:r>
      <w:proofErr w:type="spellEnd"/>
      <w:r w:rsidRPr="00095CB5">
        <w:rPr>
          <w:rFonts w:ascii="Arial" w:eastAsia="Times New Roman" w:hAnsi="Arial" w:cs="Arial"/>
          <w:color w:val="000000"/>
          <w:sz w:val="24"/>
          <w:szCs w:val="24"/>
          <w:lang w:eastAsia="fr-FR"/>
        </w:rPr>
        <w:t xml:space="preserve"> seul.</w:t>
      </w:r>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after="240" w:line="240" w:lineRule="auto"/>
        <w:rPr>
          <w:rFonts w:ascii="Times New Roman" w:eastAsia="Times New Roman" w:hAnsi="Times New Roman" w:cs="Times New Roman"/>
          <w:color w:val="000000"/>
          <w:sz w:val="24"/>
          <w:szCs w:val="24"/>
          <w:lang w:eastAsia="fr-FR"/>
        </w:rPr>
      </w:pPr>
    </w:p>
    <w:tbl>
      <w:tblPr>
        <w:tblW w:w="0" w:type="auto"/>
        <w:tblCellSpacing w:w="0" w:type="dxa"/>
        <w:tblCellMar>
          <w:left w:w="0" w:type="dxa"/>
          <w:right w:w="0" w:type="dxa"/>
        </w:tblCellMar>
        <w:tblLook w:val="04A0"/>
      </w:tblPr>
      <w:tblGrid>
        <w:gridCol w:w="2898"/>
        <w:gridCol w:w="2408"/>
        <w:gridCol w:w="3982"/>
      </w:tblGrid>
      <w:tr w:rsidR="004C3EF1" w:rsidRPr="00095CB5" w:rsidTr="007C4532">
        <w:trPr>
          <w:tblCellSpacing w:w="0" w:type="dxa"/>
        </w:trPr>
        <w:tc>
          <w:tcPr>
            <w:tcW w:w="3085" w:type="dxa"/>
            <w:tcBorders>
              <w:top w:val="single" w:sz="8" w:space="0" w:color="auto"/>
              <w:left w:val="nil"/>
              <w:bottom w:val="single" w:sz="8" w:space="0" w:color="008000"/>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Investigations:</w:t>
            </w:r>
            <w:r w:rsidRPr="00095CB5">
              <w:rPr>
                <w:rFonts w:ascii="Times New Roman" w:eastAsia="Times New Roman" w:hAnsi="Times New Roman" w:cs="Times New Roman"/>
                <w:color w:val="000000"/>
                <w:sz w:val="24"/>
                <w:szCs w:val="24"/>
                <w:lang w:eastAsia="fr-FR"/>
              </w:rPr>
              <w:t xml:space="preserve"> </w:t>
            </w:r>
          </w:p>
        </w:tc>
        <w:tc>
          <w:tcPr>
            <w:tcW w:w="2693" w:type="dxa"/>
            <w:tcBorders>
              <w:top w:val="single" w:sz="8" w:space="0" w:color="auto"/>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w:t>
            </w:r>
            <w:r w:rsidRPr="00095CB5">
              <w:rPr>
                <w:rFonts w:ascii="Times New Roman" w:eastAsia="Times New Roman" w:hAnsi="Times New Roman" w:cs="Times New Roman"/>
                <w:color w:val="000000"/>
                <w:sz w:val="24"/>
                <w:szCs w:val="24"/>
                <w:lang w:eastAsia="fr-FR"/>
              </w:rPr>
              <w:lastRenderedPageBreak/>
              <w:t xml:space="preserve">indéterminée : </w:t>
            </w:r>
          </w:p>
        </w:tc>
        <w:tc>
          <w:tcPr>
            <w:tcW w:w="4302" w:type="dxa"/>
            <w:tcBorders>
              <w:top w:val="single" w:sz="8" w:space="0" w:color="auto"/>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lastRenderedPageBreak/>
              <w:t xml:space="preserve">déséquilibre électrolytique (dont </w:t>
            </w:r>
            <w:r w:rsidRPr="00095CB5">
              <w:rPr>
                <w:rFonts w:ascii="Times New Roman" w:eastAsia="Times New Roman" w:hAnsi="Times New Roman" w:cs="Times New Roman"/>
                <w:color w:val="000000"/>
                <w:sz w:val="24"/>
                <w:szCs w:val="24"/>
                <w:lang w:eastAsia="fr-FR"/>
              </w:rPr>
              <w:lastRenderedPageBreak/>
              <w:t xml:space="preserve">hypokaliémie et hyponatrémie, voir rubrique 4.4), </w:t>
            </w:r>
            <w:proofErr w:type="spellStart"/>
            <w:r w:rsidRPr="00095CB5">
              <w:rPr>
                <w:rFonts w:ascii="Times New Roman" w:eastAsia="Times New Roman" w:hAnsi="Times New Roman" w:cs="Times New Roman"/>
                <w:color w:val="000000"/>
                <w:sz w:val="24"/>
                <w:szCs w:val="24"/>
                <w:lang w:eastAsia="fr-FR"/>
              </w:rPr>
              <w:t>hyperuricémie</w:t>
            </w:r>
            <w:proofErr w:type="spellEnd"/>
            <w:r w:rsidRPr="00095CB5">
              <w:rPr>
                <w:rFonts w:ascii="Times New Roman" w:eastAsia="Times New Roman" w:hAnsi="Times New Roman" w:cs="Times New Roman"/>
                <w:color w:val="000000"/>
                <w:sz w:val="24"/>
                <w:szCs w:val="24"/>
                <w:lang w:eastAsia="fr-FR"/>
              </w:rPr>
              <w:t xml:space="preserve">, glycosurie, hyperglycémie, augmentation du cholestérol et des triglycérides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lastRenderedPageBreak/>
              <w:t xml:space="preserve">Affections </w:t>
            </w:r>
            <w:proofErr w:type="spellStart"/>
            <w:r w:rsidRPr="00095CB5">
              <w:rPr>
                <w:rFonts w:ascii="Times New Roman" w:eastAsia="Times New Roman" w:hAnsi="Times New Roman" w:cs="Times New Roman"/>
                <w:color w:val="000000"/>
                <w:sz w:val="24"/>
                <w:szCs w:val="24"/>
                <w:lang w:val="en-GB" w:eastAsia="fr-FR"/>
              </w:rPr>
              <w:t>cardiaques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single" w:sz="8" w:space="0" w:color="auto"/>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arythmies</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hématologiques et du système lymphatique : </w:t>
            </w: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anémie aplasique, insuffisance médullaire, neutropénie/agranulocytose, anémie</w:t>
            </w:r>
            <w:r w:rsidRPr="00095CB5">
              <w:rPr>
                <w:rFonts w:ascii="Times New Roman" w:eastAsia="Times New Roman" w:hAnsi="Times New Roman" w:cs="Times New Roman"/>
                <w:color w:val="000000"/>
                <w:sz w:val="24"/>
                <w:szCs w:val="24"/>
                <w:lang w:eastAsia="fr-FR"/>
              </w:rPr>
              <w:br/>
              <w:t xml:space="preserve">hémolytique, leucopénie, thrombopénie.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du système nerveux : </w:t>
            </w:r>
          </w:p>
        </w:tc>
        <w:tc>
          <w:tcPr>
            <w:tcW w:w="2693" w:type="dxa"/>
            <w:tcBorders>
              <w:top w:val="nil"/>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vertiges, paresthésie, sensation de tête vide, agitation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oculaires : </w:t>
            </w:r>
          </w:p>
        </w:tc>
        <w:tc>
          <w:tcPr>
            <w:tcW w:w="2693" w:type="dxa"/>
            <w:tcBorders>
              <w:top w:val="single" w:sz="8" w:space="0" w:color="auto"/>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trouble transitoire de la vision, xanthopsie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Affections respiratoires,</w:t>
            </w:r>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thoraciques et </w:t>
            </w:r>
            <w:proofErr w:type="spellStart"/>
            <w:r w:rsidRPr="00095CB5">
              <w:rPr>
                <w:rFonts w:ascii="Times New Roman" w:eastAsia="Times New Roman" w:hAnsi="Times New Roman" w:cs="Times New Roman"/>
                <w:color w:val="000000"/>
                <w:sz w:val="24"/>
                <w:szCs w:val="24"/>
                <w:lang w:eastAsia="fr-FR"/>
              </w:rPr>
              <w:t>médiastinales</w:t>
            </w:r>
            <w:proofErr w:type="spellEnd"/>
            <w:r w:rsidRPr="00095CB5">
              <w:rPr>
                <w:rFonts w:ascii="Times New Roman" w:eastAsia="Times New Roman" w:hAnsi="Times New Roman" w:cs="Times New Roman"/>
                <w:color w:val="000000"/>
                <w:sz w:val="24"/>
                <w:szCs w:val="24"/>
                <w:lang w:eastAsia="fr-FR"/>
              </w:rPr>
              <w:t xml:space="preserve"> : </w:t>
            </w: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détresses respiratoires (y compris pneumopathie et œdème pulmonaire)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gastrointestinales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pancréatite, anorexie, diarrhée, constipation, irritation gastrique, </w:t>
            </w:r>
            <w:proofErr w:type="spellStart"/>
            <w:r w:rsidRPr="00095CB5">
              <w:rPr>
                <w:rFonts w:ascii="Times New Roman" w:eastAsia="Times New Roman" w:hAnsi="Times New Roman" w:cs="Times New Roman"/>
                <w:color w:val="000000"/>
                <w:sz w:val="24"/>
                <w:szCs w:val="24"/>
                <w:lang w:eastAsia="fr-FR"/>
              </w:rPr>
              <w:t>sialadénite</w:t>
            </w:r>
            <w:proofErr w:type="spellEnd"/>
            <w:r w:rsidRPr="00095CB5">
              <w:rPr>
                <w:rFonts w:ascii="Times New Roman" w:eastAsia="Times New Roman" w:hAnsi="Times New Roman" w:cs="Times New Roman"/>
                <w:color w:val="000000"/>
                <w:sz w:val="24"/>
                <w:szCs w:val="24"/>
                <w:lang w:eastAsia="fr-FR"/>
              </w:rPr>
              <w:t xml:space="preserve">, perte d'appétit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du rein et des voies urinaires : </w:t>
            </w:r>
          </w:p>
        </w:tc>
        <w:tc>
          <w:tcPr>
            <w:tcW w:w="2693" w:type="dxa"/>
            <w:tcBorders>
              <w:top w:val="single" w:sz="8" w:space="0" w:color="auto"/>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néphrite interstitielle, altération de la fonction</w:t>
            </w:r>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Arial" w:eastAsia="Times New Roman" w:hAnsi="Arial" w:cs="Arial"/>
                <w:color w:val="000000"/>
                <w:sz w:val="24"/>
                <w:szCs w:val="24"/>
                <w:lang w:val="en-GB" w:eastAsia="fr-FR"/>
              </w:rPr>
              <w:t>rénale</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de la peau et du tissu sous-cutané : </w:t>
            </w:r>
          </w:p>
        </w:tc>
        <w:tc>
          <w:tcPr>
            <w:tcW w:w="2693" w:type="dxa"/>
            <w:tcBorders>
              <w:top w:val="single" w:sz="8" w:space="0" w:color="auto"/>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 xml:space="preserve">réactions anaphylactiques, </w:t>
            </w:r>
            <w:proofErr w:type="spellStart"/>
            <w:r w:rsidRPr="00095CB5">
              <w:rPr>
                <w:rFonts w:ascii="Arial" w:eastAsia="Times New Roman" w:hAnsi="Arial" w:cs="Arial"/>
                <w:color w:val="000000"/>
                <w:sz w:val="24"/>
                <w:szCs w:val="24"/>
                <w:lang w:eastAsia="fr-FR"/>
              </w:rPr>
              <w:t>nécrolyse</w:t>
            </w:r>
            <w:proofErr w:type="spellEnd"/>
            <w:r w:rsidRPr="00095CB5">
              <w:rPr>
                <w:rFonts w:ascii="Arial" w:eastAsia="Times New Roman" w:hAnsi="Arial" w:cs="Arial"/>
                <w:color w:val="000000"/>
                <w:sz w:val="24"/>
                <w:szCs w:val="24"/>
                <w:lang w:eastAsia="fr-FR"/>
              </w:rPr>
              <w:t xml:space="preserve"> épidermique toxique, angéites nécrosantes (vasculaires et cutanées), réactions de type lupus érythémateux disséminé, aggravation d'un lupus érythémateux cutané, réaction de</w:t>
            </w:r>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Arial" w:eastAsia="Times New Roman" w:hAnsi="Arial" w:cs="Arial"/>
                <w:color w:val="000000"/>
                <w:sz w:val="24"/>
                <w:szCs w:val="24"/>
                <w:lang w:val="en-GB" w:eastAsia="fr-FR"/>
              </w:rPr>
              <w:t>photosensibilisation</w:t>
            </w:r>
            <w:proofErr w:type="spellEnd"/>
            <w:r w:rsidRPr="00095CB5">
              <w:rPr>
                <w:rFonts w:ascii="Arial" w:eastAsia="Times New Roman" w:hAnsi="Arial" w:cs="Arial"/>
                <w:color w:val="000000"/>
                <w:sz w:val="24"/>
                <w:szCs w:val="24"/>
                <w:lang w:val="en-GB" w:eastAsia="fr-FR"/>
              </w:rPr>
              <w:t xml:space="preserve">, rash, </w:t>
            </w:r>
            <w:proofErr w:type="spellStart"/>
            <w:r w:rsidRPr="00095CB5">
              <w:rPr>
                <w:rFonts w:ascii="Arial" w:eastAsia="Times New Roman" w:hAnsi="Arial" w:cs="Arial"/>
                <w:color w:val="000000"/>
                <w:sz w:val="24"/>
                <w:szCs w:val="24"/>
                <w:lang w:val="en-GB" w:eastAsia="fr-FR"/>
              </w:rPr>
              <w:t>urticaire</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musculosquelettiques</w:t>
            </w:r>
            <w:proofErr w:type="spellEnd"/>
            <w:r w:rsidRPr="00095CB5">
              <w:rPr>
                <w:rFonts w:ascii="Times New Roman" w:eastAsia="Times New Roman" w:hAnsi="Times New Roman" w:cs="Times New Roman"/>
                <w:color w:val="000000"/>
                <w:sz w:val="24"/>
                <w:szCs w:val="24"/>
                <w:lang w:val="en-GB" w:eastAsia="fr-FR"/>
              </w:rPr>
              <w:t xml:space="preserve"> et </w:t>
            </w:r>
            <w:proofErr w:type="spellStart"/>
            <w:r w:rsidRPr="00095CB5">
              <w:rPr>
                <w:rFonts w:ascii="Times New Roman" w:eastAsia="Times New Roman" w:hAnsi="Times New Roman" w:cs="Times New Roman"/>
                <w:color w:val="000000"/>
                <w:sz w:val="24"/>
                <w:szCs w:val="24"/>
                <w:lang w:val="en-GB" w:eastAsia="fr-FR"/>
              </w:rPr>
              <w:t>systémiques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single" w:sz="8" w:space="0" w:color="auto"/>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nil"/>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faiblesse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spasme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musculaire</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vasculaires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single" w:sz="8" w:space="0" w:color="auto"/>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hypotension </w:t>
            </w:r>
            <w:proofErr w:type="spellStart"/>
            <w:r w:rsidRPr="00095CB5">
              <w:rPr>
                <w:rFonts w:ascii="Times New Roman" w:eastAsia="Times New Roman" w:hAnsi="Times New Roman" w:cs="Times New Roman"/>
                <w:color w:val="000000"/>
                <w:sz w:val="24"/>
                <w:szCs w:val="24"/>
                <w:lang w:val="en-GB" w:eastAsia="fr-FR"/>
              </w:rPr>
              <w:t>orthostatique</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Troubles généraux et accidents</w:t>
            </w:r>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liés au site d'administration : </w:t>
            </w: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fièvre</w:t>
            </w:r>
            <w:proofErr w:type="spellEnd"/>
            <w:r w:rsidRPr="00095CB5">
              <w:rPr>
                <w:rFonts w:ascii="Times New Roman" w:eastAsia="Times New Roman" w:hAnsi="Times New Roman" w:cs="Times New Roman"/>
                <w:color w:val="000000"/>
                <w:sz w:val="24"/>
                <w:szCs w:val="24"/>
                <w:lang w:eastAsia="fr-FR"/>
              </w:rPr>
              <w:t xml:space="preserv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hépato-biliaires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 : </w:t>
            </w:r>
          </w:p>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w:t>
            </w:r>
            <w:r w:rsidRPr="00095CB5">
              <w:rPr>
                <w:rFonts w:ascii="Times New Roman" w:eastAsia="Times New Roman" w:hAnsi="Times New Roman" w:cs="Times New Roman"/>
                <w:color w:val="000000"/>
                <w:sz w:val="24"/>
                <w:szCs w:val="24"/>
                <w:lang w:eastAsia="fr-FR"/>
              </w:rPr>
              <w:lastRenderedPageBreak/>
              <w:t xml:space="preserve">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lastRenderedPageBreak/>
              <w:t xml:space="preserve">Ictères </w:t>
            </w:r>
          </w:p>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hépatites, anomalie de la fonction </w:t>
            </w:r>
            <w:r w:rsidRPr="00095CB5">
              <w:rPr>
                <w:rFonts w:ascii="Times New Roman" w:eastAsia="Times New Roman" w:hAnsi="Times New Roman" w:cs="Times New Roman"/>
                <w:color w:val="000000"/>
                <w:sz w:val="24"/>
                <w:szCs w:val="24"/>
                <w:lang w:eastAsia="fr-FR"/>
              </w:rPr>
              <w:lastRenderedPageBreak/>
              <w:t xml:space="preserve">hépatique </w:t>
            </w:r>
          </w:p>
        </w:tc>
      </w:tr>
      <w:tr w:rsidR="004C3EF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lastRenderedPageBreak/>
              <w:t xml:space="preserve">Affections psychiatriques : </w:t>
            </w:r>
          </w:p>
        </w:tc>
        <w:tc>
          <w:tcPr>
            <w:tcW w:w="2693"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4C3EF1" w:rsidRPr="00095CB5" w:rsidRDefault="004C3EF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dépression</w:t>
            </w:r>
            <w:proofErr w:type="spellEnd"/>
            <w:r w:rsidRPr="00095CB5">
              <w:rPr>
                <w:rFonts w:ascii="Times New Roman" w:eastAsia="Times New Roman" w:hAnsi="Times New Roman" w:cs="Times New Roman"/>
                <w:color w:val="000000"/>
                <w:sz w:val="24"/>
                <w:szCs w:val="24"/>
                <w:lang w:val="en-GB" w:eastAsia="fr-FR"/>
              </w:rPr>
              <w:t xml:space="preserve">, troubles du </w:t>
            </w:r>
            <w:proofErr w:type="spellStart"/>
            <w:r w:rsidRPr="00095CB5">
              <w:rPr>
                <w:rFonts w:ascii="Times New Roman" w:eastAsia="Times New Roman" w:hAnsi="Times New Roman" w:cs="Times New Roman"/>
                <w:color w:val="000000"/>
                <w:sz w:val="24"/>
                <w:szCs w:val="24"/>
                <w:lang w:val="en-GB" w:eastAsia="fr-FR"/>
              </w:rPr>
              <w:t>sommeil</w:t>
            </w:r>
            <w:proofErr w:type="spellEnd"/>
            <w:r w:rsidRPr="00095CB5">
              <w:rPr>
                <w:rFonts w:ascii="Times New Roman" w:eastAsia="Times New Roman" w:hAnsi="Times New Roman" w:cs="Times New Roman"/>
                <w:color w:val="000000"/>
                <w:sz w:val="24"/>
                <w:szCs w:val="24"/>
                <w:lang w:eastAsia="fr-FR"/>
              </w:rPr>
              <w:t xml:space="preserve"> </w:t>
            </w:r>
          </w:p>
        </w:tc>
      </w:tr>
    </w:tbl>
    <w:p w:rsidR="004C3EF1" w:rsidRPr="00095CB5" w:rsidRDefault="004C3EF1" w:rsidP="004C3EF1">
      <w:pPr>
        <w:spacing w:after="240" w:line="240" w:lineRule="auto"/>
        <w:rPr>
          <w:rFonts w:ascii="Times New Roman" w:eastAsia="Times New Roman" w:hAnsi="Times New Roman" w:cs="Times New Roman"/>
          <w:color w:val="000000"/>
          <w:sz w:val="24"/>
          <w:szCs w:val="24"/>
          <w:lang w:eastAsia="fr-FR"/>
        </w:rPr>
      </w:pP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Les événements indésirables dose-dépendants de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(particulièrement les déséquilibres électrolytiques) peuvent être majorés lors d'une augmentation de la dose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4.9. Surdosage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Aucune information spécifique n'est disponible sur le traitement en cas de surdosage par </w:t>
      </w:r>
      <w:r w:rsidRPr="00095CB5">
        <w:rPr>
          <w:rFonts w:ascii="Times New Roman" w:eastAsia="Times New Roman" w:hAnsi="Times New Roman" w:cs="Times New Roman"/>
          <w:caps/>
          <w:color w:val="000000"/>
          <w:sz w:val="24"/>
          <w:szCs w:val="24"/>
          <w:lang w:eastAsia="fr-FR"/>
        </w:rPr>
        <w:t>Irbésartan/ Hydrochlorothiazide</w:t>
      </w:r>
      <w:r w:rsidRPr="00095CB5">
        <w:rPr>
          <w:rFonts w:ascii="Times New Roman" w:eastAsia="Times New Roman" w:hAnsi="Times New Roman" w:cs="Times New Roman"/>
          <w:color w:val="000000"/>
          <w:sz w:val="24"/>
          <w:szCs w:val="24"/>
          <w:lang w:eastAsia="fr-FR"/>
        </w:rPr>
        <w:t xml:space="preserve">. Le patient doit être placé sous étroite surveillance, un traitement symptomatique et le maintien des fonctions vitales sera instauré. Les mesures à prendre dépendent du temps passé depuis l'ingestion et de la sévérité des symptômes. Des mesures telles que l'induction de vomissements et/ou le lavage gastrique sont suggérées. Le charbon activé peut être utile dans le traitement du surdosage. Les dosages sanguins des électrolytes et de la créatinine devront être pratiqués fréquemment. En cas d'hypotension, le patient devra être placé en </w:t>
      </w:r>
      <w:proofErr w:type="spellStart"/>
      <w:r w:rsidRPr="00095CB5">
        <w:rPr>
          <w:rFonts w:ascii="Times New Roman" w:eastAsia="Times New Roman" w:hAnsi="Times New Roman" w:cs="Times New Roman"/>
          <w:color w:val="000000"/>
          <w:sz w:val="24"/>
          <w:szCs w:val="24"/>
          <w:lang w:eastAsia="fr-FR"/>
        </w:rPr>
        <w:t>decubitus</w:t>
      </w:r>
      <w:proofErr w:type="spellEnd"/>
      <w:r w:rsidRPr="00095CB5">
        <w:rPr>
          <w:rFonts w:ascii="Times New Roman" w:eastAsia="Times New Roman" w:hAnsi="Times New Roman" w:cs="Times New Roman"/>
          <w:color w:val="000000"/>
          <w:sz w:val="24"/>
          <w:szCs w:val="24"/>
          <w:lang w:eastAsia="fr-FR"/>
        </w:rPr>
        <w:t xml:space="preserve"> et un remplissage </w:t>
      </w:r>
      <w:proofErr w:type="spellStart"/>
      <w:r w:rsidRPr="00095CB5">
        <w:rPr>
          <w:rFonts w:ascii="Times New Roman" w:eastAsia="Times New Roman" w:hAnsi="Times New Roman" w:cs="Times New Roman"/>
          <w:color w:val="000000"/>
          <w:sz w:val="24"/>
          <w:szCs w:val="24"/>
          <w:lang w:eastAsia="fr-FR"/>
        </w:rPr>
        <w:t>volémique</w:t>
      </w:r>
      <w:proofErr w:type="spellEnd"/>
      <w:r w:rsidRPr="00095CB5">
        <w:rPr>
          <w:rFonts w:ascii="Times New Roman" w:eastAsia="Times New Roman" w:hAnsi="Times New Roman" w:cs="Times New Roman"/>
          <w:color w:val="000000"/>
          <w:sz w:val="24"/>
          <w:szCs w:val="24"/>
          <w:lang w:eastAsia="fr-FR"/>
        </w:rPr>
        <w:t xml:space="preserve"> </w:t>
      </w:r>
      <w:proofErr w:type="spellStart"/>
      <w:r w:rsidRPr="00095CB5">
        <w:rPr>
          <w:rFonts w:ascii="Times New Roman" w:eastAsia="Times New Roman" w:hAnsi="Times New Roman" w:cs="Times New Roman"/>
          <w:color w:val="000000"/>
          <w:sz w:val="24"/>
          <w:szCs w:val="24"/>
          <w:lang w:eastAsia="fr-FR"/>
        </w:rPr>
        <w:t>hydrosodé</w:t>
      </w:r>
      <w:proofErr w:type="spellEnd"/>
      <w:r w:rsidRPr="00095CB5">
        <w:rPr>
          <w:rFonts w:ascii="Times New Roman" w:eastAsia="Times New Roman" w:hAnsi="Times New Roman" w:cs="Times New Roman"/>
          <w:color w:val="000000"/>
          <w:sz w:val="24"/>
          <w:szCs w:val="24"/>
          <w:lang w:eastAsia="fr-FR"/>
        </w:rPr>
        <w:t xml:space="preserve"> effectué rapidement.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Les signes cliniques les plus probables d'un surdosage par </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seraient une hypotension et une tachycardie. Une bradycardie pourrait également survenir.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Le surdosage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est associé à un déficit électrolytique (hypokaliémie, </w:t>
      </w:r>
      <w:proofErr w:type="spellStart"/>
      <w:r w:rsidRPr="00095CB5">
        <w:rPr>
          <w:rFonts w:ascii="Times New Roman" w:eastAsia="Times New Roman" w:hAnsi="Times New Roman" w:cs="Times New Roman"/>
          <w:color w:val="000000"/>
          <w:sz w:val="24"/>
          <w:szCs w:val="24"/>
          <w:lang w:eastAsia="fr-FR"/>
        </w:rPr>
        <w:t>hypochlorémie</w:t>
      </w:r>
      <w:proofErr w:type="spellEnd"/>
      <w:r w:rsidRPr="00095CB5">
        <w:rPr>
          <w:rFonts w:ascii="Times New Roman" w:eastAsia="Times New Roman" w:hAnsi="Times New Roman" w:cs="Times New Roman"/>
          <w:color w:val="000000"/>
          <w:sz w:val="24"/>
          <w:szCs w:val="24"/>
          <w:lang w:eastAsia="fr-FR"/>
        </w:rPr>
        <w:t xml:space="preserve">, hyponatrémie) ainsi qu'à une déshydratation résultant d'une diurèse excessive. Les signes et symptômes les plus courants d'un surdosage sont les nausées et la somnolence. L'hypokaliémie peut provoquer des spasmes musculaires et/ou aggraver les troubles du rythme cardiaque liés à l'utilisation concomitante de </w:t>
      </w:r>
      <w:proofErr w:type="spellStart"/>
      <w:r w:rsidRPr="00095CB5">
        <w:rPr>
          <w:rFonts w:ascii="Times New Roman" w:eastAsia="Times New Roman" w:hAnsi="Times New Roman" w:cs="Times New Roman"/>
          <w:color w:val="000000"/>
          <w:sz w:val="24"/>
          <w:szCs w:val="24"/>
          <w:lang w:eastAsia="fr-FR"/>
        </w:rPr>
        <w:t>digitaliques</w:t>
      </w:r>
      <w:proofErr w:type="spellEnd"/>
      <w:r w:rsidRPr="00095CB5">
        <w:rPr>
          <w:rFonts w:ascii="Times New Roman" w:eastAsia="Times New Roman" w:hAnsi="Times New Roman" w:cs="Times New Roman"/>
          <w:color w:val="000000"/>
          <w:sz w:val="24"/>
          <w:szCs w:val="24"/>
          <w:lang w:eastAsia="fr-FR"/>
        </w:rPr>
        <w:t xml:space="preserve"> ou de certains médicaments </w:t>
      </w:r>
      <w:proofErr w:type="spellStart"/>
      <w:r w:rsidRPr="00095CB5">
        <w:rPr>
          <w:rFonts w:ascii="Times New Roman" w:eastAsia="Times New Roman" w:hAnsi="Times New Roman" w:cs="Times New Roman"/>
          <w:color w:val="000000"/>
          <w:sz w:val="24"/>
          <w:szCs w:val="24"/>
          <w:lang w:eastAsia="fr-FR"/>
        </w:rPr>
        <w:t>antiarythmiques</w:t>
      </w:r>
      <w:proofErr w:type="spellEnd"/>
      <w:r w:rsidRPr="00095CB5">
        <w:rPr>
          <w:rFonts w:ascii="Times New Roman" w:eastAsia="Times New Roman" w:hAnsi="Times New Roman" w:cs="Times New Roman"/>
          <w:color w:val="000000"/>
          <w:sz w:val="24"/>
          <w:szCs w:val="24"/>
          <w:lang w:eastAsia="fr-FR"/>
        </w:rPr>
        <w:t xml:space="preserve">. </w:t>
      </w:r>
    </w:p>
    <w:p w:rsidR="004C3EF1" w:rsidRPr="00095CB5" w:rsidRDefault="004C3EF1" w:rsidP="004C3EF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n'est pas </w:t>
      </w:r>
      <w:proofErr w:type="spellStart"/>
      <w:r w:rsidRPr="00095CB5">
        <w:rPr>
          <w:rFonts w:ascii="Times New Roman" w:eastAsia="Times New Roman" w:hAnsi="Times New Roman" w:cs="Times New Roman"/>
          <w:color w:val="000000"/>
          <w:sz w:val="24"/>
          <w:szCs w:val="24"/>
          <w:lang w:eastAsia="fr-FR"/>
        </w:rPr>
        <w:t>hémodialysable</w:t>
      </w:r>
      <w:proofErr w:type="spellEnd"/>
      <w:r w:rsidRPr="00095CB5">
        <w:rPr>
          <w:rFonts w:ascii="Times New Roman" w:eastAsia="Times New Roman" w:hAnsi="Times New Roman" w:cs="Times New Roman"/>
          <w:color w:val="000000"/>
          <w:sz w:val="24"/>
          <w:szCs w:val="24"/>
          <w:lang w:eastAsia="fr-FR"/>
        </w:rPr>
        <w:t>. La proportion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éliminée par hémodialyse n'a pas été déterminée.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08"/>
  <w:hyphenationZone w:val="425"/>
  <w:characterSpacingControl w:val="doNotCompress"/>
  <w:compat/>
  <w:rsids>
    <w:rsidRoot w:val="004C3EF1"/>
    <w:rsid w:val="00017B31"/>
    <w:rsid w:val="0006330F"/>
    <w:rsid w:val="0009769E"/>
    <w:rsid w:val="000C4178"/>
    <w:rsid w:val="00120A2B"/>
    <w:rsid w:val="001931B1"/>
    <w:rsid w:val="001A53D5"/>
    <w:rsid w:val="00282113"/>
    <w:rsid w:val="003164DC"/>
    <w:rsid w:val="00370323"/>
    <w:rsid w:val="004276C2"/>
    <w:rsid w:val="004771A7"/>
    <w:rsid w:val="004C3EF1"/>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E34F8"/>
    <w:rsid w:val="00E651C1"/>
    <w:rsid w:val="00EB4024"/>
    <w:rsid w:val="00EE1C81"/>
    <w:rsid w:val="00F0257B"/>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E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4357</Words>
  <Characters>23967</Characters>
  <Application>Microsoft Office Word</Application>
  <DocSecurity>0</DocSecurity>
  <Lines>199</Lines>
  <Paragraphs>56</Paragraphs>
  <ScaleCrop>false</ScaleCrop>
  <Company/>
  <LinksUpToDate>false</LinksUpToDate>
  <CharactersWithSpaces>28268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2013-02-09T19:12:00Z</dcterms:created>
  <dcterms:modified xsi:type="dcterms:W3CDTF">2013-02-09T19:13:00Z</dcterms:modified>
</cp:coreProperties>
</file>